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455F8" w14:textId="77777777" w:rsidR="00A00BD7" w:rsidRPr="008C0492" w:rsidRDefault="008C0492" w:rsidP="00B560F6">
      <w:pPr>
        <w:spacing w:after="0"/>
        <w:rPr>
          <w:b/>
          <w:bCs/>
          <w:sz w:val="28"/>
          <w:szCs w:val="28"/>
        </w:rPr>
      </w:pPr>
      <w:bookmarkStart w:id="0" w:name="_GoBack"/>
      <w:bookmarkEnd w:id="0"/>
      <w:r w:rsidRPr="008C0492">
        <w:rPr>
          <w:b/>
          <w:bCs/>
          <w:sz w:val="28"/>
          <w:szCs w:val="28"/>
        </w:rPr>
        <w:t xml:space="preserve">02 </w:t>
      </w:r>
      <w:r w:rsidRPr="008C0492">
        <w:rPr>
          <w:b/>
          <w:sz w:val="28"/>
          <w:szCs w:val="28"/>
          <w:lang w:val="en-GB"/>
        </w:rPr>
        <w:t>The value of E</w:t>
      </w:r>
      <w:r w:rsidR="00982367">
        <w:rPr>
          <w:b/>
          <w:sz w:val="28"/>
          <w:szCs w:val="28"/>
          <w:lang w:val="en-GB"/>
        </w:rPr>
        <w:t xml:space="preserve">mployer </w:t>
      </w:r>
      <w:r w:rsidRPr="008C0492">
        <w:rPr>
          <w:b/>
          <w:sz w:val="28"/>
          <w:szCs w:val="28"/>
          <w:lang w:val="en-GB"/>
        </w:rPr>
        <w:t>E</w:t>
      </w:r>
      <w:r w:rsidR="00982367">
        <w:rPr>
          <w:b/>
          <w:sz w:val="28"/>
          <w:szCs w:val="28"/>
          <w:lang w:val="en-GB"/>
        </w:rPr>
        <w:t>ngagement</w:t>
      </w:r>
      <w:r w:rsidRPr="008C0492">
        <w:rPr>
          <w:b/>
          <w:sz w:val="28"/>
          <w:szCs w:val="28"/>
          <w:lang w:val="en-GB"/>
        </w:rPr>
        <w:t xml:space="preserve"> to HEIs &amp; FECs and its operation</w:t>
      </w:r>
    </w:p>
    <w:p w14:paraId="6FA2C490" w14:textId="77777777" w:rsidR="007A4E63" w:rsidRDefault="007A4E63" w:rsidP="008C0492">
      <w:pPr>
        <w:spacing w:after="0"/>
        <w:rPr>
          <w:sz w:val="20"/>
          <w:szCs w:val="20"/>
          <w:u w:val="single"/>
          <w:lang w:val="en-GB"/>
        </w:rPr>
      </w:pPr>
    </w:p>
    <w:p w14:paraId="525BAE5E" w14:textId="77777777" w:rsidR="0017064F" w:rsidRDefault="0017064F" w:rsidP="008C0492">
      <w:pPr>
        <w:spacing w:after="0"/>
        <w:rPr>
          <w:sz w:val="20"/>
          <w:szCs w:val="20"/>
          <w:u w:val="single"/>
          <w:lang w:val="en-GB"/>
        </w:rPr>
      </w:pPr>
      <w:r>
        <w:rPr>
          <w:sz w:val="20"/>
          <w:szCs w:val="20"/>
          <w:u w:val="single"/>
          <w:lang w:val="en-GB"/>
        </w:rPr>
        <w:t>Purpose</w:t>
      </w:r>
    </w:p>
    <w:p w14:paraId="223D25D7" w14:textId="3A839376" w:rsidR="0017064F" w:rsidRPr="00EE05AE" w:rsidRDefault="005257B3" w:rsidP="00B560F6">
      <w:pPr>
        <w:spacing w:after="0"/>
        <w:rPr>
          <w:rFonts w:cstheme="minorHAnsi"/>
          <w:sz w:val="20"/>
          <w:szCs w:val="20"/>
        </w:rPr>
      </w:pPr>
      <w:r w:rsidRPr="001002D5">
        <w:rPr>
          <w:rFonts w:cstheme="minorHAnsi"/>
          <w:sz w:val="20"/>
          <w:szCs w:val="20"/>
        </w:rPr>
        <w:t>H</w:t>
      </w:r>
      <w:r>
        <w:rPr>
          <w:rFonts w:cstheme="minorHAnsi"/>
          <w:sz w:val="20"/>
          <w:szCs w:val="20"/>
        </w:rPr>
        <w:t xml:space="preserve">igher </w:t>
      </w:r>
      <w:r w:rsidRPr="001002D5">
        <w:rPr>
          <w:rFonts w:cstheme="minorHAnsi"/>
          <w:sz w:val="20"/>
          <w:szCs w:val="20"/>
        </w:rPr>
        <w:t>E</w:t>
      </w:r>
      <w:r>
        <w:rPr>
          <w:rFonts w:cstheme="minorHAnsi"/>
          <w:sz w:val="20"/>
          <w:szCs w:val="20"/>
        </w:rPr>
        <w:t xml:space="preserve">ducation </w:t>
      </w:r>
      <w:r w:rsidRPr="001002D5">
        <w:rPr>
          <w:rFonts w:cstheme="minorHAnsi"/>
          <w:sz w:val="20"/>
          <w:szCs w:val="20"/>
        </w:rPr>
        <w:t>I</w:t>
      </w:r>
      <w:r>
        <w:rPr>
          <w:rFonts w:cstheme="minorHAnsi"/>
          <w:sz w:val="20"/>
          <w:szCs w:val="20"/>
        </w:rPr>
        <w:t>nstitutions [HEIs]</w:t>
      </w:r>
      <w:r w:rsidRPr="001002D5">
        <w:rPr>
          <w:rFonts w:cstheme="minorHAnsi"/>
          <w:sz w:val="20"/>
          <w:szCs w:val="20"/>
        </w:rPr>
        <w:t>/F</w:t>
      </w:r>
      <w:r>
        <w:rPr>
          <w:rFonts w:cstheme="minorHAnsi"/>
          <w:sz w:val="20"/>
          <w:szCs w:val="20"/>
        </w:rPr>
        <w:t xml:space="preserve">urther </w:t>
      </w:r>
      <w:r w:rsidRPr="001002D5">
        <w:rPr>
          <w:rFonts w:cstheme="minorHAnsi"/>
          <w:sz w:val="20"/>
          <w:szCs w:val="20"/>
        </w:rPr>
        <w:t>E</w:t>
      </w:r>
      <w:r>
        <w:rPr>
          <w:rFonts w:cstheme="minorHAnsi"/>
          <w:sz w:val="20"/>
          <w:szCs w:val="20"/>
        </w:rPr>
        <w:t xml:space="preserve">ducation </w:t>
      </w:r>
      <w:r w:rsidRPr="001002D5">
        <w:rPr>
          <w:rFonts w:cstheme="minorHAnsi"/>
          <w:sz w:val="20"/>
          <w:szCs w:val="20"/>
        </w:rPr>
        <w:t>C</w:t>
      </w:r>
      <w:r>
        <w:rPr>
          <w:rFonts w:cstheme="minorHAnsi"/>
          <w:sz w:val="20"/>
          <w:szCs w:val="20"/>
        </w:rPr>
        <w:t>ollege</w:t>
      </w:r>
      <w:r w:rsidRPr="001002D5">
        <w:rPr>
          <w:rFonts w:cstheme="minorHAnsi"/>
          <w:sz w:val="20"/>
          <w:szCs w:val="20"/>
        </w:rPr>
        <w:t>s</w:t>
      </w:r>
      <w:r>
        <w:rPr>
          <w:rFonts w:cstheme="minorHAnsi"/>
          <w:sz w:val="20"/>
          <w:szCs w:val="20"/>
        </w:rPr>
        <w:t xml:space="preserve"> [FECs] </w:t>
      </w:r>
      <w:r w:rsidR="00EE0753" w:rsidRPr="00EE0753">
        <w:rPr>
          <w:sz w:val="20"/>
          <w:szCs w:val="20"/>
          <w:lang w:val="en-GB"/>
        </w:rPr>
        <w:t xml:space="preserve">are increasingly seeking </w:t>
      </w:r>
      <w:r w:rsidR="00EE0753">
        <w:rPr>
          <w:sz w:val="20"/>
          <w:szCs w:val="20"/>
          <w:lang w:val="en-GB"/>
        </w:rPr>
        <w:t xml:space="preserve">links or partnerships with employers. This </w:t>
      </w:r>
      <w:r w:rsidR="006B54F4">
        <w:rPr>
          <w:sz w:val="20"/>
          <w:szCs w:val="20"/>
          <w:lang w:val="en-GB"/>
        </w:rPr>
        <w:t xml:space="preserve">work </w:t>
      </w:r>
      <w:r w:rsidR="00EE0753">
        <w:rPr>
          <w:sz w:val="20"/>
          <w:szCs w:val="20"/>
          <w:lang w:val="en-GB"/>
        </w:rPr>
        <w:t>is often driven forward by a wide range of staff</w:t>
      </w:r>
      <w:r w:rsidR="00982367">
        <w:rPr>
          <w:sz w:val="20"/>
          <w:szCs w:val="20"/>
          <w:lang w:val="en-GB"/>
        </w:rPr>
        <w:t>, from module leaders to senior managers</w:t>
      </w:r>
      <w:r w:rsidR="00F55C76">
        <w:rPr>
          <w:sz w:val="20"/>
          <w:szCs w:val="20"/>
          <w:lang w:val="en-GB"/>
        </w:rPr>
        <w:t>,</w:t>
      </w:r>
      <w:r w:rsidR="00EE0753">
        <w:rPr>
          <w:sz w:val="20"/>
          <w:szCs w:val="20"/>
          <w:lang w:val="en-GB"/>
        </w:rPr>
        <w:t xml:space="preserve"> for </w:t>
      </w:r>
      <w:r w:rsidR="00255650">
        <w:rPr>
          <w:sz w:val="20"/>
          <w:szCs w:val="20"/>
          <w:lang w:val="en-GB"/>
        </w:rPr>
        <w:t xml:space="preserve">very </w:t>
      </w:r>
      <w:r w:rsidR="00EE0753">
        <w:rPr>
          <w:sz w:val="20"/>
          <w:szCs w:val="20"/>
          <w:lang w:val="en-GB"/>
        </w:rPr>
        <w:t xml:space="preserve">specific reasons e.g. </w:t>
      </w:r>
      <w:r w:rsidR="00E85DB3">
        <w:rPr>
          <w:sz w:val="20"/>
          <w:szCs w:val="20"/>
          <w:lang w:val="en-GB"/>
        </w:rPr>
        <w:t xml:space="preserve">the pursuit of research or Work </w:t>
      </w:r>
      <w:r w:rsidR="003A729F">
        <w:rPr>
          <w:sz w:val="20"/>
          <w:szCs w:val="20"/>
          <w:lang w:val="en-GB"/>
        </w:rPr>
        <w:t>B</w:t>
      </w:r>
      <w:r w:rsidR="00E85DB3">
        <w:rPr>
          <w:sz w:val="20"/>
          <w:szCs w:val="20"/>
          <w:lang w:val="en-GB"/>
        </w:rPr>
        <w:t>ased Learning [WBL]</w:t>
      </w:r>
      <w:r w:rsidR="00A94EC3">
        <w:rPr>
          <w:sz w:val="20"/>
          <w:szCs w:val="20"/>
          <w:lang w:val="en-GB"/>
        </w:rPr>
        <w:t xml:space="preserve"> opportunities</w:t>
      </w:r>
      <w:r w:rsidR="00255650">
        <w:rPr>
          <w:sz w:val="20"/>
          <w:szCs w:val="20"/>
          <w:lang w:val="en-GB"/>
        </w:rPr>
        <w:t xml:space="preserve"> for students</w:t>
      </w:r>
      <w:r w:rsidR="00E85DB3">
        <w:rPr>
          <w:sz w:val="20"/>
          <w:szCs w:val="20"/>
          <w:lang w:val="en-GB"/>
        </w:rPr>
        <w:t>.</w:t>
      </w:r>
      <w:r w:rsidR="003A7100">
        <w:rPr>
          <w:sz w:val="20"/>
          <w:szCs w:val="20"/>
          <w:lang w:val="en-GB"/>
        </w:rPr>
        <w:t xml:space="preserve"> However, these staff </w:t>
      </w:r>
      <w:r w:rsidR="00F55C76">
        <w:rPr>
          <w:sz w:val="20"/>
          <w:szCs w:val="20"/>
          <w:lang w:val="en-GB"/>
        </w:rPr>
        <w:t xml:space="preserve">may </w:t>
      </w:r>
      <w:r w:rsidR="003A7100">
        <w:rPr>
          <w:sz w:val="20"/>
          <w:szCs w:val="20"/>
          <w:lang w:val="en-GB"/>
        </w:rPr>
        <w:t xml:space="preserve">not always </w:t>
      </w:r>
      <w:r w:rsidR="00F55C76">
        <w:rPr>
          <w:sz w:val="20"/>
          <w:szCs w:val="20"/>
          <w:lang w:val="en-GB"/>
        </w:rPr>
        <w:t xml:space="preserve">be </w:t>
      </w:r>
      <w:r w:rsidR="003A7100">
        <w:rPr>
          <w:sz w:val="20"/>
          <w:szCs w:val="20"/>
          <w:lang w:val="en-GB"/>
        </w:rPr>
        <w:t xml:space="preserve">aware of the full range of employer engagement </w:t>
      </w:r>
      <w:r w:rsidR="00FF1A15">
        <w:rPr>
          <w:sz w:val="20"/>
          <w:szCs w:val="20"/>
          <w:lang w:val="en-GB"/>
        </w:rPr>
        <w:t xml:space="preserve">[EE] </w:t>
      </w:r>
      <w:r w:rsidR="003A7100">
        <w:rPr>
          <w:sz w:val="20"/>
          <w:szCs w:val="20"/>
          <w:lang w:val="en-GB"/>
        </w:rPr>
        <w:t xml:space="preserve">activities across their institution. Also </w:t>
      </w:r>
      <w:r w:rsidR="005F3BDA">
        <w:rPr>
          <w:sz w:val="20"/>
          <w:szCs w:val="20"/>
          <w:lang w:val="en-GB"/>
        </w:rPr>
        <w:t>the</w:t>
      </w:r>
      <w:r w:rsidR="00F55C76">
        <w:rPr>
          <w:sz w:val="20"/>
          <w:szCs w:val="20"/>
          <w:lang w:val="en-GB"/>
        </w:rPr>
        <w:t>ir</w:t>
      </w:r>
      <w:r w:rsidR="005F3BDA">
        <w:rPr>
          <w:sz w:val="20"/>
          <w:szCs w:val="20"/>
          <w:lang w:val="en-GB"/>
        </w:rPr>
        <w:t xml:space="preserve"> </w:t>
      </w:r>
      <w:r w:rsidR="00255650">
        <w:rPr>
          <w:sz w:val="20"/>
          <w:szCs w:val="20"/>
          <w:lang w:val="en-GB"/>
        </w:rPr>
        <w:t xml:space="preserve">efforts </w:t>
      </w:r>
      <w:r w:rsidR="00F55C76">
        <w:rPr>
          <w:sz w:val="20"/>
          <w:szCs w:val="20"/>
          <w:lang w:val="en-GB"/>
        </w:rPr>
        <w:t>may</w:t>
      </w:r>
      <w:r w:rsidR="005F3BDA">
        <w:rPr>
          <w:sz w:val="20"/>
          <w:szCs w:val="20"/>
          <w:lang w:val="en-GB"/>
        </w:rPr>
        <w:t xml:space="preserve"> </w:t>
      </w:r>
      <w:r w:rsidR="00255650">
        <w:rPr>
          <w:sz w:val="20"/>
          <w:szCs w:val="20"/>
          <w:lang w:val="en-GB"/>
        </w:rPr>
        <w:t xml:space="preserve">not </w:t>
      </w:r>
      <w:r w:rsidR="00F55C76">
        <w:rPr>
          <w:sz w:val="20"/>
          <w:szCs w:val="20"/>
          <w:lang w:val="en-GB"/>
        </w:rPr>
        <w:t xml:space="preserve">be </w:t>
      </w:r>
      <w:r w:rsidR="00255650">
        <w:rPr>
          <w:sz w:val="20"/>
          <w:szCs w:val="20"/>
          <w:lang w:val="en-GB"/>
        </w:rPr>
        <w:t xml:space="preserve">clearly linked to </w:t>
      </w:r>
      <w:r w:rsidR="005F3BDA">
        <w:rPr>
          <w:sz w:val="20"/>
          <w:szCs w:val="20"/>
          <w:lang w:val="en-GB"/>
        </w:rPr>
        <w:t>institutional motivations and strategies</w:t>
      </w:r>
      <w:r w:rsidR="00255650">
        <w:rPr>
          <w:sz w:val="20"/>
          <w:szCs w:val="20"/>
          <w:lang w:val="en-GB"/>
        </w:rPr>
        <w:t xml:space="preserve"> around employer </w:t>
      </w:r>
      <w:r w:rsidR="00255650" w:rsidRPr="006D0CEC">
        <w:rPr>
          <w:sz w:val="20"/>
          <w:szCs w:val="20"/>
          <w:lang w:val="en-GB"/>
        </w:rPr>
        <w:t xml:space="preserve">engagement. </w:t>
      </w:r>
      <w:r w:rsidR="006D0CEC" w:rsidRPr="006D0CEC">
        <w:rPr>
          <w:sz w:val="20"/>
          <w:szCs w:val="20"/>
        </w:rPr>
        <w:t>This guide aims to provide a concise summary of the type of institutional level motivations that should help any staff member in forging relationships with employers.</w:t>
      </w:r>
    </w:p>
    <w:p w14:paraId="1EE16CD8" w14:textId="77777777" w:rsidR="00A94EC3" w:rsidRDefault="00A94EC3" w:rsidP="00A94EC3">
      <w:pPr>
        <w:spacing w:after="0"/>
        <w:rPr>
          <w:sz w:val="20"/>
          <w:szCs w:val="20"/>
          <w:lang w:val="en-GB"/>
        </w:rPr>
      </w:pPr>
    </w:p>
    <w:p w14:paraId="491955BD" w14:textId="77777777" w:rsidR="00FF1A15" w:rsidRDefault="00FF1A15" w:rsidP="00FF1A15">
      <w:pPr>
        <w:spacing w:after="0"/>
        <w:rPr>
          <w:sz w:val="20"/>
          <w:szCs w:val="20"/>
          <w:u w:val="single"/>
          <w:lang w:val="en-GB"/>
        </w:rPr>
      </w:pPr>
      <w:r>
        <w:rPr>
          <w:sz w:val="20"/>
          <w:szCs w:val="20"/>
          <w:u w:val="single"/>
          <w:lang w:val="en-GB"/>
        </w:rPr>
        <w:t>Key Institutional Motivations</w:t>
      </w:r>
    </w:p>
    <w:p w14:paraId="17676E83" w14:textId="77777777" w:rsidR="0017064F" w:rsidRDefault="00982367" w:rsidP="006D0CEC">
      <w:pPr>
        <w:spacing w:after="0"/>
        <w:rPr>
          <w:sz w:val="20"/>
          <w:szCs w:val="20"/>
          <w:lang w:val="en-GB"/>
        </w:rPr>
      </w:pPr>
      <w:r>
        <w:rPr>
          <w:sz w:val="20"/>
          <w:szCs w:val="20"/>
          <w:lang w:val="en-GB"/>
        </w:rPr>
        <w:t xml:space="preserve">Many </w:t>
      </w:r>
      <w:r w:rsidR="00A94EC3">
        <w:rPr>
          <w:sz w:val="20"/>
          <w:szCs w:val="20"/>
          <w:lang w:val="en-GB"/>
        </w:rPr>
        <w:t xml:space="preserve">HEI/FECs have put in place an increasing number of processes and systems aimed at facilitating and managing their employer engagement </w:t>
      </w:r>
      <w:r w:rsidR="00A94EC3" w:rsidRPr="006D0CEC">
        <w:rPr>
          <w:sz w:val="20"/>
          <w:szCs w:val="20"/>
          <w:lang w:val="en-GB"/>
        </w:rPr>
        <w:t xml:space="preserve">efforts. </w:t>
      </w:r>
      <w:r w:rsidR="006D0CEC" w:rsidRPr="006D0CEC">
        <w:rPr>
          <w:sz w:val="20"/>
          <w:szCs w:val="20"/>
        </w:rPr>
        <w:t>The following institutional level considerations can be contextualised with examples and policies for any HEI/FEC and can be used as a strategic introduction for staff engaging in EE.</w:t>
      </w:r>
    </w:p>
    <w:p w14:paraId="7607667D" w14:textId="77777777" w:rsidR="003A729F" w:rsidRDefault="003A729F" w:rsidP="00B51208">
      <w:pPr>
        <w:spacing w:after="0"/>
        <w:rPr>
          <w:sz w:val="20"/>
          <w:szCs w:val="20"/>
          <w:lang w:val="en-GB"/>
        </w:rPr>
      </w:pPr>
    </w:p>
    <w:p w14:paraId="14F3AD84" w14:textId="77777777" w:rsidR="00195FA3" w:rsidRPr="00195FA3" w:rsidRDefault="00195FA3" w:rsidP="00EE05AE">
      <w:pPr>
        <w:pStyle w:val="ListParagraph"/>
        <w:numPr>
          <w:ilvl w:val="0"/>
          <w:numId w:val="16"/>
        </w:numPr>
        <w:spacing w:after="0"/>
        <w:rPr>
          <w:sz w:val="20"/>
          <w:szCs w:val="20"/>
          <w:u w:val="single"/>
          <w:lang w:val="en-GB"/>
        </w:rPr>
      </w:pPr>
      <w:r w:rsidRPr="00195FA3">
        <w:rPr>
          <w:sz w:val="20"/>
          <w:szCs w:val="20"/>
          <w:u w:val="single"/>
          <w:lang w:val="en-GB"/>
        </w:rPr>
        <w:t>Understanding international, national and regional trends and needs</w:t>
      </w:r>
    </w:p>
    <w:p w14:paraId="63546E34" w14:textId="64BCEBCF" w:rsidR="00195FA3" w:rsidRPr="00EE05AE" w:rsidRDefault="00195FA3" w:rsidP="00EE05AE">
      <w:pPr>
        <w:pStyle w:val="ListParagraph"/>
        <w:spacing w:after="0"/>
        <w:rPr>
          <w:sz w:val="20"/>
          <w:szCs w:val="20"/>
          <w:lang w:val="en-GB"/>
        </w:rPr>
      </w:pPr>
      <w:r w:rsidRPr="00EE05AE">
        <w:rPr>
          <w:sz w:val="20"/>
          <w:szCs w:val="20"/>
          <w:lang w:val="en-GB"/>
        </w:rPr>
        <w:t>Employers are vital partners</w:t>
      </w:r>
      <w:r w:rsidR="009C545F" w:rsidRPr="00EE05AE">
        <w:rPr>
          <w:sz w:val="20"/>
          <w:szCs w:val="20"/>
          <w:lang w:val="en-GB"/>
        </w:rPr>
        <w:t xml:space="preserve"> to HEI/FECs; in the short term they help </w:t>
      </w:r>
      <w:r w:rsidRPr="00EE05AE">
        <w:rPr>
          <w:sz w:val="20"/>
          <w:szCs w:val="20"/>
          <w:lang w:val="en-GB"/>
        </w:rPr>
        <w:t>ensur</w:t>
      </w:r>
      <w:r w:rsidR="009C545F" w:rsidRPr="00EE05AE">
        <w:rPr>
          <w:sz w:val="20"/>
          <w:szCs w:val="20"/>
          <w:lang w:val="en-GB"/>
        </w:rPr>
        <w:t>e</w:t>
      </w:r>
      <w:r w:rsidRPr="00EE05AE">
        <w:rPr>
          <w:sz w:val="20"/>
          <w:szCs w:val="20"/>
          <w:lang w:val="en-GB"/>
        </w:rPr>
        <w:t xml:space="preserve"> that courses delivered and research undertaken is rigorous and fit for purpose. </w:t>
      </w:r>
      <w:r w:rsidR="009C545F" w:rsidRPr="00EE05AE">
        <w:rPr>
          <w:sz w:val="20"/>
          <w:szCs w:val="20"/>
          <w:lang w:val="en-GB"/>
        </w:rPr>
        <w:t>However, e</w:t>
      </w:r>
      <w:r w:rsidRPr="00EE05AE">
        <w:rPr>
          <w:sz w:val="20"/>
          <w:szCs w:val="20"/>
          <w:lang w:val="en-GB"/>
        </w:rPr>
        <w:t xml:space="preserve">mployers </w:t>
      </w:r>
      <w:r w:rsidR="009C545F" w:rsidRPr="00EE05AE">
        <w:rPr>
          <w:sz w:val="20"/>
          <w:szCs w:val="20"/>
          <w:lang w:val="en-GB"/>
        </w:rPr>
        <w:t xml:space="preserve">can offer a great deal </w:t>
      </w:r>
      <w:r w:rsidRPr="00EE05AE">
        <w:rPr>
          <w:sz w:val="20"/>
          <w:szCs w:val="20"/>
          <w:lang w:val="en-GB"/>
        </w:rPr>
        <w:t xml:space="preserve">to </w:t>
      </w:r>
      <w:r w:rsidR="00FF1A15" w:rsidRPr="00EE05AE">
        <w:rPr>
          <w:sz w:val="20"/>
          <w:szCs w:val="20"/>
          <w:lang w:val="en-GB"/>
        </w:rPr>
        <w:t>institutions</w:t>
      </w:r>
      <w:r w:rsidR="00121DEA" w:rsidRPr="00EE05AE">
        <w:rPr>
          <w:sz w:val="20"/>
          <w:szCs w:val="20"/>
          <w:lang w:val="en-GB"/>
        </w:rPr>
        <w:t>’</w:t>
      </w:r>
      <w:r w:rsidRPr="00EE05AE">
        <w:rPr>
          <w:sz w:val="20"/>
          <w:szCs w:val="20"/>
          <w:lang w:val="en-GB"/>
        </w:rPr>
        <w:t xml:space="preserve"> longer term understanding </w:t>
      </w:r>
      <w:r w:rsidR="009C545F" w:rsidRPr="00EE05AE">
        <w:rPr>
          <w:sz w:val="20"/>
          <w:szCs w:val="20"/>
          <w:lang w:val="en-GB"/>
        </w:rPr>
        <w:t xml:space="preserve">of scientific, technical, business </w:t>
      </w:r>
      <w:r w:rsidRPr="00EE05AE">
        <w:rPr>
          <w:sz w:val="20"/>
          <w:szCs w:val="20"/>
          <w:lang w:val="en-GB"/>
        </w:rPr>
        <w:t xml:space="preserve">and </w:t>
      </w:r>
      <w:r w:rsidR="009C545F" w:rsidRPr="00EE05AE">
        <w:rPr>
          <w:sz w:val="20"/>
          <w:szCs w:val="20"/>
          <w:lang w:val="en-GB"/>
        </w:rPr>
        <w:t xml:space="preserve">social trends and developments. HEI/FECs use this information to help position their organisations for the long term. </w:t>
      </w:r>
      <w:r w:rsidRPr="00EE05AE">
        <w:rPr>
          <w:sz w:val="20"/>
          <w:szCs w:val="20"/>
          <w:lang w:val="en-GB"/>
        </w:rPr>
        <w:t xml:space="preserve"> </w:t>
      </w:r>
    </w:p>
    <w:p w14:paraId="3914A525" w14:textId="77777777" w:rsidR="00195FA3" w:rsidRPr="006D42FB" w:rsidRDefault="006D42FB" w:rsidP="00EE05AE">
      <w:pPr>
        <w:spacing w:after="0"/>
        <w:ind w:left="720"/>
        <w:rPr>
          <w:b/>
          <w:bCs/>
          <w:sz w:val="20"/>
          <w:szCs w:val="20"/>
          <w:lang w:val="en-GB"/>
        </w:rPr>
      </w:pPr>
      <w:r w:rsidRPr="000C5D42">
        <w:rPr>
          <w:sz w:val="20"/>
          <w:szCs w:val="20"/>
          <w:u w:val="single"/>
          <w:lang w:val="en-GB"/>
        </w:rPr>
        <w:t>Related HEI/FEC system</w:t>
      </w:r>
      <w:r w:rsidR="00121DEA">
        <w:rPr>
          <w:sz w:val="20"/>
          <w:szCs w:val="20"/>
          <w:u w:val="single"/>
          <w:lang w:val="en-GB"/>
        </w:rPr>
        <w:t>s</w:t>
      </w:r>
      <w:r w:rsidR="000C5D42" w:rsidRPr="000C5D42">
        <w:rPr>
          <w:sz w:val="20"/>
          <w:szCs w:val="20"/>
          <w:lang w:val="en-GB"/>
        </w:rPr>
        <w:t xml:space="preserve"> -</w:t>
      </w:r>
      <w:r w:rsidRPr="000C5D42">
        <w:rPr>
          <w:sz w:val="20"/>
          <w:szCs w:val="20"/>
          <w:lang w:val="en-GB"/>
        </w:rPr>
        <w:t xml:space="preserve"> </w:t>
      </w:r>
      <w:r w:rsidR="000C5D42" w:rsidRPr="000C5D42">
        <w:rPr>
          <w:sz w:val="20"/>
          <w:szCs w:val="20"/>
          <w:lang w:val="en-GB"/>
        </w:rPr>
        <w:t xml:space="preserve">Employers are often invited to join governing bodies, employer forums, participate in surveys or work with HEI/FECs on funding bids. </w:t>
      </w:r>
    </w:p>
    <w:p w14:paraId="681057A1" w14:textId="77777777" w:rsidR="006D42FB" w:rsidRPr="006D42FB" w:rsidRDefault="006D42FB" w:rsidP="00B51208">
      <w:pPr>
        <w:spacing w:after="0"/>
        <w:rPr>
          <w:sz w:val="20"/>
          <w:szCs w:val="20"/>
          <w:lang w:val="en-GB"/>
        </w:rPr>
      </w:pPr>
    </w:p>
    <w:p w14:paraId="55FE9780" w14:textId="77777777" w:rsidR="009576D7" w:rsidRPr="00626044" w:rsidRDefault="00626044" w:rsidP="00EE05AE">
      <w:pPr>
        <w:pStyle w:val="ListParagraph"/>
        <w:numPr>
          <w:ilvl w:val="0"/>
          <w:numId w:val="19"/>
        </w:numPr>
        <w:spacing w:after="0"/>
        <w:rPr>
          <w:sz w:val="20"/>
          <w:szCs w:val="20"/>
          <w:u w:val="single"/>
          <w:lang w:val="en-GB"/>
        </w:rPr>
      </w:pPr>
      <w:r>
        <w:rPr>
          <w:sz w:val="20"/>
          <w:szCs w:val="20"/>
          <w:u w:val="single"/>
          <w:lang w:val="en-GB"/>
        </w:rPr>
        <w:t>Employers as p</w:t>
      </w:r>
      <w:r w:rsidR="009576D7" w:rsidRPr="00626044">
        <w:rPr>
          <w:sz w:val="20"/>
          <w:szCs w:val="20"/>
          <w:u w:val="single"/>
          <w:lang w:val="en-GB"/>
        </w:rPr>
        <w:t>artners in HE course design, delivery and assessment</w:t>
      </w:r>
    </w:p>
    <w:p w14:paraId="2306E570" w14:textId="0D8F3471" w:rsidR="006D0CEC" w:rsidRPr="006D0CEC" w:rsidRDefault="009576D7" w:rsidP="00EE05AE">
      <w:pPr>
        <w:spacing w:after="0"/>
        <w:ind w:left="720"/>
        <w:rPr>
          <w:sz w:val="20"/>
          <w:szCs w:val="20"/>
          <w:lang w:val="en-GB"/>
        </w:rPr>
      </w:pPr>
      <w:r>
        <w:rPr>
          <w:sz w:val="20"/>
          <w:szCs w:val="20"/>
          <w:lang w:val="en-GB"/>
        </w:rPr>
        <w:t xml:space="preserve">HEI/FECs do not operate independently of their regional context. </w:t>
      </w:r>
      <w:r w:rsidR="00626044">
        <w:rPr>
          <w:sz w:val="20"/>
          <w:szCs w:val="20"/>
          <w:lang w:val="en-GB"/>
        </w:rPr>
        <w:t>A key reason for HEI/FECs to contact employers is to ensure that the courses offered are not only attractive to pros</w:t>
      </w:r>
      <w:r w:rsidR="006415F5">
        <w:rPr>
          <w:sz w:val="20"/>
          <w:szCs w:val="20"/>
          <w:lang w:val="en-GB"/>
        </w:rPr>
        <w:t>pecti</w:t>
      </w:r>
      <w:r w:rsidR="00626044">
        <w:rPr>
          <w:sz w:val="20"/>
          <w:szCs w:val="20"/>
          <w:lang w:val="en-GB"/>
        </w:rPr>
        <w:t xml:space="preserve">ve students but </w:t>
      </w:r>
      <w:r w:rsidR="006301A3">
        <w:rPr>
          <w:sz w:val="20"/>
          <w:szCs w:val="20"/>
          <w:lang w:val="en-GB"/>
        </w:rPr>
        <w:t>also equip graduates for</w:t>
      </w:r>
      <w:r w:rsidR="00FF1A15">
        <w:rPr>
          <w:sz w:val="20"/>
          <w:szCs w:val="20"/>
          <w:lang w:val="en-GB"/>
        </w:rPr>
        <w:t xml:space="preserve"> </w:t>
      </w:r>
      <w:r w:rsidR="006301A3">
        <w:rPr>
          <w:sz w:val="20"/>
          <w:szCs w:val="20"/>
          <w:lang w:val="en-GB"/>
        </w:rPr>
        <w:t xml:space="preserve">jobs currently on offer and </w:t>
      </w:r>
      <w:r w:rsidR="006301A3" w:rsidRPr="00680580">
        <w:rPr>
          <w:sz w:val="20"/>
          <w:szCs w:val="20"/>
          <w:lang w:val="en-GB"/>
        </w:rPr>
        <w:t xml:space="preserve">where there is growing or changing demand. </w:t>
      </w:r>
      <w:r w:rsidR="006D0CEC">
        <w:rPr>
          <w:sz w:val="20"/>
          <w:szCs w:val="20"/>
          <w:lang w:val="en-GB"/>
        </w:rPr>
        <w:t xml:space="preserve">Use of Labour Market Intelligence </w:t>
      </w:r>
      <w:r w:rsidR="005257B3">
        <w:rPr>
          <w:sz w:val="20"/>
          <w:szCs w:val="20"/>
          <w:lang w:val="en-GB"/>
        </w:rPr>
        <w:t>[</w:t>
      </w:r>
      <w:r w:rsidR="006D0CEC">
        <w:rPr>
          <w:sz w:val="20"/>
          <w:szCs w:val="20"/>
          <w:lang w:val="en-GB"/>
        </w:rPr>
        <w:t>LMI</w:t>
      </w:r>
      <w:r w:rsidR="005257B3">
        <w:rPr>
          <w:sz w:val="20"/>
          <w:szCs w:val="20"/>
          <w:lang w:val="en-GB"/>
        </w:rPr>
        <w:t>]</w:t>
      </w:r>
      <w:r w:rsidR="006D0CEC">
        <w:rPr>
          <w:sz w:val="20"/>
          <w:szCs w:val="20"/>
          <w:lang w:val="en-GB"/>
        </w:rPr>
        <w:t xml:space="preserve"> can support this work.</w:t>
      </w:r>
    </w:p>
    <w:p w14:paraId="5A9CCEA8" w14:textId="77777777" w:rsidR="006301A3" w:rsidRPr="00680580" w:rsidRDefault="00680580" w:rsidP="00EE05AE">
      <w:pPr>
        <w:spacing w:after="0"/>
        <w:ind w:left="720"/>
        <w:rPr>
          <w:sz w:val="20"/>
          <w:szCs w:val="20"/>
          <w:lang w:val="en-GB"/>
        </w:rPr>
      </w:pPr>
      <w:r w:rsidRPr="00680580">
        <w:rPr>
          <w:sz w:val="20"/>
          <w:szCs w:val="20"/>
          <w:u w:val="single"/>
          <w:lang w:val="en-GB"/>
        </w:rPr>
        <w:t>Related HEI/FEC system</w:t>
      </w:r>
      <w:r w:rsidR="00121DEA">
        <w:rPr>
          <w:sz w:val="20"/>
          <w:szCs w:val="20"/>
          <w:u w:val="single"/>
          <w:lang w:val="en-GB"/>
        </w:rPr>
        <w:t>s</w:t>
      </w:r>
      <w:r w:rsidRPr="00680580">
        <w:rPr>
          <w:sz w:val="20"/>
          <w:szCs w:val="20"/>
          <w:lang w:val="en-GB"/>
        </w:rPr>
        <w:t xml:space="preserve"> - </w:t>
      </w:r>
      <w:r w:rsidR="006B54F4" w:rsidRPr="00680580">
        <w:rPr>
          <w:b/>
          <w:bCs/>
          <w:sz w:val="20"/>
          <w:szCs w:val="20"/>
          <w:lang w:val="en-GB"/>
        </w:rPr>
        <w:t>Market research</w:t>
      </w:r>
      <w:r w:rsidR="006B54F4" w:rsidRPr="00680580">
        <w:rPr>
          <w:sz w:val="20"/>
          <w:szCs w:val="20"/>
          <w:lang w:val="en-GB"/>
        </w:rPr>
        <w:t>: employers are asked to contribute to the</w:t>
      </w:r>
      <w:r w:rsidR="00626044" w:rsidRPr="00680580">
        <w:rPr>
          <w:sz w:val="20"/>
          <w:szCs w:val="20"/>
          <w:lang w:val="en-GB"/>
        </w:rPr>
        <w:t xml:space="preserve"> research</w:t>
      </w:r>
      <w:r w:rsidR="006B54F4" w:rsidRPr="00680580">
        <w:rPr>
          <w:sz w:val="20"/>
          <w:szCs w:val="20"/>
          <w:lang w:val="en-GB"/>
        </w:rPr>
        <w:t xml:space="preserve"> undertaken by course development teams to determine the size and nature of the market for new or revised awards. </w:t>
      </w:r>
      <w:r w:rsidRPr="00680580">
        <w:rPr>
          <w:sz w:val="20"/>
          <w:szCs w:val="20"/>
          <w:lang w:val="en-GB"/>
        </w:rPr>
        <w:t xml:space="preserve">As well as providing feedback on the proposed content, employers help </w:t>
      </w:r>
      <w:r w:rsidR="006B54F4" w:rsidRPr="00680580">
        <w:rPr>
          <w:sz w:val="20"/>
          <w:szCs w:val="20"/>
          <w:lang w:val="en-GB"/>
        </w:rPr>
        <w:t xml:space="preserve">HEI/FECs </w:t>
      </w:r>
      <w:r w:rsidRPr="00680580">
        <w:rPr>
          <w:sz w:val="20"/>
          <w:szCs w:val="20"/>
          <w:lang w:val="en-GB"/>
        </w:rPr>
        <w:t>to determine the appropriate durations and level of an award</w:t>
      </w:r>
      <w:r w:rsidR="006B54F4" w:rsidRPr="00680580">
        <w:rPr>
          <w:sz w:val="20"/>
          <w:szCs w:val="20"/>
          <w:lang w:val="en-GB"/>
        </w:rPr>
        <w:t>, for example:</w:t>
      </w:r>
    </w:p>
    <w:p w14:paraId="4CB0DC1F" w14:textId="77777777" w:rsidR="006B54F4" w:rsidRPr="00680580" w:rsidRDefault="006B54F4" w:rsidP="00EE05AE">
      <w:pPr>
        <w:pStyle w:val="ListParagraph"/>
        <w:numPr>
          <w:ilvl w:val="1"/>
          <w:numId w:val="8"/>
        </w:numPr>
        <w:spacing w:after="0"/>
        <w:ind w:left="1440"/>
        <w:rPr>
          <w:sz w:val="20"/>
          <w:szCs w:val="20"/>
          <w:lang w:val="en-GB"/>
        </w:rPr>
      </w:pPr>
      <w:r w:rsidRPr="00680580">
        <w:rPr>
          <w:sz w:val="20"/>
          <w:szCs w:val="20"/>
          <w:lang w:val="en-GB"/>
        </w:rPr>
        <w:t xml:space="preserve">HNC [level 4, </w:t>
      </w:r>
      <w:r w:rsidR="009C545F">
        <w:rPr>
          <w:sz w:val="20"/>
          <w:szCs w:val="20"/>
          <w:lang w:val="en-GB"/>
        </w:rPr>
        <w:t xml:space="preserve">equivalent to </w:t>
      </w:r>
      <w:r w:rsidRPr="00680580">
        <w:rPr>
          <w:sz w:val="20"/>
          <w:szCs w:val="20"/>
          <w:lang w:val="en-GB"/>
        </w:rPr>
        <w:t>year one of a BA/BSc award]</w:t>
      </w:r>
    </w:p>
    <w:p w14:paraId="37F969FA" w14:textId="77777777" w:rsidR="00680580" w:rsidRDefault="00680580" w:rsidP="00EE05AE">
      <w:pPr>
        <w:pStyle w:val="ListParagraph"/>
        <w:numPr>
          <w:ilvl w:val="1"/>
          <w:numId w:val="8"/>
        </w:numPr>
        <w:spacing w:after="0"/>
        <w:ind w:left="1440"/>
        <w:rPr>
          <w:sz w:val="20"/>
          <w:szCs w:val="20"/>
          <w:lang w:val="en-GB"/>
        </w:rPr>
      </w:pPr>
      <w:r w:rsidRPr="00680580">
        <w:rPr>
          <w:sz w:val="20"/>
          <w:szCs w:val="20"/>
          <w:lang w:val="en-GB"/>
        </w:rPr>
        <w:t xml:space="preserve">Foundation Degree [FD] or HND </w:t>
      </w:r>
      <w:r w:rsidR="009C545F">
        <w:rPr>
          <w:sz w:val="20"/>
          <w:szCs w:val="20"/>
          <w:lang w:val="en-GB"/>
        </w:rPr>
        <w:t>[level 5</w:t>
      </w:r>
      <w:r w:rsidRPr="00680580">
        <w:rPr>
          <w:sz w:val="20"/>
          <w:szCs w:val="20"/>
          <w:lang w:val="en-GB"/>
        </w:rPr>
        <w:t xml:space="preserve">, </w:t>
      </w:r>
      <w:r w:rsidR="009C545F">
        <w:rPr>
          <w:sz w:val="20"/>
          <w:szCs w:val="20"/>
          <w:lang w:val="en-GB"/>
        </w:rPr>
        <w:t xml:space="preserve">equivalent to </w:t>
      </w:r>
      <w:r w:rsidRPr="00680580">
        <w:rPr>
          <w:sz w:val="20"/>
          <w:szCs w:val="20"/>
          <w:lang w:val="en-GB"/>
        </w:rPr>
        <w:t>year</w:t>
      </w:r>
      <w:r w:rsidR="009C545F">
        <w:rPr>
          <w:sz w:val="20"/>
          <w:szCs w:val="20"/>
          <w:lang w:val="en-GB"/>
        </w:rPr>
        <w:t>s</w:t>
      </w:r>
      <w:r w:rsidRPr="00680580">
        <w:rPr>
          <w:sz w:val="20"/>
          <w:szCs w:val="20"/>
          <w:lang w:val="en-GB"/>
        </w:rPr>
        <w:t xml:space="preserve"> </w:t>
      </w:r>
      <w:r w:rsidR="009C545F">
        <w:rPr>
          <w:sz w:val="20"/>
          <w:szCs w:val="20"/>
          <w:lang w:val="en-GB"/>
        </w:rPr>
        <w:t xml:space="preserve">one and </w:t>
      </w:r>
      <w:r w:rsidRPr="00680580">
        <w:rPr>
          <w:sz w:val="20"/>
          <w:szCs w:val="20"/>
          <w:lang w:val="en-GB"/>
        </w:rPr>
        <w:t xml:space="preserve">two of a BA/BSc award] </w:t>
      </w:r>
    </w:p>
    <w:p w14:paraId="7663780E" w14:textId="77777777" w:rsidR="007F3FA9" w:rsidRPr="00680580" w:rsidRDefault="00DE7E89" w:rsidP="00EE05AE">
      <w:pPr>
        <w:pStyle w:val="ListParagraph"/>
        <w:numPr>
          <w:ilvl w:val="1"/>
          <w:numId w:val="8"/>
        </w:numPr>
        <w:spacing w:after="0"/>
        <w:ind w:left="1440"/>
        <w:rPr>
          <w:sz w:val="20"/>
          <w:szCs w:val="20"/>
          <w:lang w:val="en-GB"/>
        </w:rPr>
      </w:pPr>
      <w:r>
        <w:rPr>
          <w:sz w:val="20"/>
          <w:szCs w:val="20"/>
          <w:lang w:val="en-GB"/>
        </w:rPr>
        <w:t>Higher Level Apprenticeships</w:t>
      </w:r>
    </w:p>
    <w:p w14:paraId="6101A1ED" w14:textId="77777777" w:rsidR="00680580" w:rsidRPr="00680580" w:rsidRDefault="00680580" w:rsidP="00EE05AE">
      <w:pPr>
        <w:pStyle w:val="ListParagraph"/>
        <w:numPr>
          <w:ilvl w:val="1"/>
          <w:numId w:val="8"/>
        </w:numPr>
        <w:spacing w:after="0"/>
        <w:ind w:left="1440"/>
        <w:rPr>
          <w:sz w:val="20"/>
          <w:szCs w:val="20"/>
          <w:lang w:val="en-GB"/>
        </w:rPr>
      </w:pPr>
      <w:r w:rsidRPr="00680580">
        <w:rPr>
          <w:sz w:val="20"/>
          <w:szCs w:val="20"/>
          <w:lang w:val="en-GB"/>
        </w:rPr>
        <w:t>BA/BSc degrees [level 6 awards</w:t>
      </w:r>
      <w:r w:rsidR="009C545F">
        <w:rPr>
          <w:sz w:val="20"/>
          <w:szCs w:val="20"/>
          <w:lang w:val="en-GB"/>
        </w:rPr>
        <w:t>, three years of study</w:t>
      </w:r>
      <w:r w:rsidRPr="00680580">
        <w:rPr>
          <w:sz w:val="20"/>
          <w:szCs w:val="20"/>
          <w:lang w:val="en-GB"/>
        </w:rPr>
        <w:t>]</w:t>
      </w:r>
    </w:p>
    <w:p w14:paraId="16ADF038" w14:textId="77777777" w:rsidR="006B54F4" w:rsidRPr="009A5220" w:rsidRDefault="006B54F4" w:rsidP="00EE05AE">
      <w:pPr>
        <w:pStyle w:val="ListParagraph"/>
        <w:numPr>
          <w:ilvl w:val="1"/>
          <w:numId w:val="8"/>
        </w:numPr>
        <w:spacing w:after="0"/>
        <w:ind w:left="1440"/>
        <w:rPr>
          <w:sz w:val="20"/>
          <w:szCs w:val="20"/>
          <w:lang w:val="en-GB"/>
        </w:rPr>
      </w:pPr>
      <w:r w:rsidRPr="009A5220">
        <w:rPr>
          <w:sz w:val="20"/>
          <w:szCs w:val="20"/>
          <w:lang w:val="en-GB"/>
        </w:rPr>
        <w:t>Masters</w:t>
      </w:r>
      <w:r w:rsidR="009C545F" w:rsidRPr="009A5220">
        <w:rPr>
          <w:sz w:val="20"/>
          <w:szCs w:val="20"/>
          <w:lang w:val="en-GB"/>
        </w:rPr>
        <w:t xml:space="preserve"> and professional awards [level 7</w:t>
      </w:r>
      <w:r w:rsidRPr="009A5220">
        <w:rPr>
          <w:sz w:val="20"/>
          <w:szCs w:val="20"/>
          <w:lang w:val="en-GB"/>
        </w:rPr>
        <w:t xml:space="preserve">] </w:t>
      </w:r>
    </w:p>
    <w:p w14:paraId="29E55622" w14:textId="77777777" w:rsidR="006D42FB" w:rsidRPr="000F6B31" w:rsidRDefault="009A5220" w:rsidP="00EE05AE">
      <w:pPr>
        <w:spacing w:after="0"/>
        <w:ind w:left="720"/>
        <w:rPr>
          <w:sz w:val="20"/>
          <w:szCs w:val="20"/>
          <w:lang w:val="en-GB"/>
        </w:rPr>
      </w:pPr>
      <w:r w:rsidRPr="009A5220">
        <w:rPr>
          <w:sz w:val="20"/>
          <w:szCs w:val="20"/>
          <w:lang w:val="en-GB"/>
        </w:rPr>
        <w:t xml:space="preserve">Employers may also be asked to bring their knowledge and experience to </w:t>
      </w:r>
      <w:r w:rsidRPr="00DE7E89">
        <w:rPr>
          <w:b/>
          <w:bCs/>
          <w:sz w:val="20"/>
          <w:szCs w:val="20"/>
          <w:lang w:val="en-GB"/>
        </w:rPr>
        <w:t>Advisory G</w:t>
      </w:r>
      <w:r w:rsidR="006D42FB" w:rsidRPr="00DE7E89">
        <w:rPr>
          <w:b/>
          <w:bCs/>
          <w:sz w:val="20"/>
          <w:szCs w:val="20"/>
          <w:lang w:val="en-GB"/>
        </w:rPr>
        <w:t>roups</w:t>
      </w:r>
      <w:r w:rsidRPr="009A5220">
        <w:rPr>
          <w:sz w:val="20"/>
          <w:szCs w:val="20"/>
          <w:lang w:val="en-GB"/>
        </w:rPr>
        <w:t xml:space="preserve"> that act in support of programme teams to enhance the student learning experience</w:t>
      </w:r>
      <w:r w:rsidR="007A4585">
        <w:rPr>
          <w:sz w:val="20"/>
          <w:szCs w:val="20"/>
          <w:lang w:val="en-GB"/>
        </w:rPr>
        <w:t xml:space="preserve"> and bring currency to any learning environment</w:t>
      </w:r>
      <w:r w:rsidR="00E43879">
        <w:rPr>
          <w:sz w:val="20"/>
          <w:szCs w:val="20"/>
          <w:lang w:val="en-GB"/>
        </w:rPr>
        <w:t>.</w:t>
      </w:r>
    </w:p>
    <w:p w14:paraId="5E261C42" w14:textId="77777777" w:rsidR="006D42FB" w:rsidRPr="00680580" w:rsidRDefault="006D42FB" w:rsidP="00B51208">
      <w:pPr>
        <w:spacing w:after="0"/>
        <w:rPr>
          <w:sz w:val="20"/>
          <w:szCs w:val="20"/>
          <w:u w:val="single"/>
          <w:lang w:val="en-GB"/>
        </w:rPr>
      </w:pPr>
    </w:p>
    <w:p w14:paraId="7716FBDF" w14:textId="77777777" w:rsidR="008E0D60" w:rsidRPr="00680580" w:rsidRDefault="008E0D60" w:rsidP="00EE05AE">
      <w:pPr>
        <w:pStyle w:val="ListParagraph"/>
        <w:numPr>
          <w:ilvl w:val="0"/>
          <w:numId w:val="20"/>
        </w:numPr>
        <w:spacing w:after="0"/>
        <w:rPr>
          <w:sz w:val="20"/>
          <w:szCs w:val="20"/>
          <w:u w:val="single"/>
          <w:lang w:val="en-GB"/>
        </w:rPr>
      </w:pPr>
      <w:r w:rsidRPr="00680580">
        <w:rPr>
          <w:sz w:val="20"/>
          <w:szCs w:val="20"/>
          <w:u w:val="single"/>
          <w:lang w:val="en-GB"/>
        </w:rPr>
        <w:t>Employers as a source of students</w:t>
      </w:r>
    </w:p>
    <w:p w14:paraId="47C9896E" w14:textId="5A2D21BD" w:rsidR="008E0D60" w:rsidRDefault="008E0D60" w:rsidP="00EE05AE">
      <w:pPr>
        <w:spacing w:after="0"/>
        <w:ind w:left="720"/>
        <w:rPr>
          <w:sz w:val="20"/>
          <w:szCs w:val="20"/>
          <w:lang w:val="en-GB"/>
        </w:rPr>
      </w:pPr>
      <w:r w:rsidRPr="00680580">
        <w:rPr>
          <w:sz w:val="20"/>
          <w:szCs w:val="20"/>
          <w:lang w:val="en-GB"/>
        </w:rPr>
        <w:t xml:space="preserve">Increasingly the </w:t>
      </w:r>
      <w:r w:rsidR="009576D7" w:rsidRPr="00680580">
        <w:rPr>
          <w:sz w:val="20"/>
          <w:szCs w:val="20"/>
          <w:lang w:val="en-GB"/>
        </w:rPr>
        <w:t>make-up</w:t>
      </w:r>
      <w:r w:rsidRPr="00680580">
        <w:rPr>
          <w:sz w:val="20"/>
          <w:szCs w:val="20"/>
          <w:lang w:val="en-GB"/>
        </w:rPr>
        <w:t xml:space="preserve"> of the student body for HEI/FECs is moving from the stereotypical</w:t>
      </w:r>
      <w:r>
        <w:rPr>
          <w:sz w:val="20"/>
          <w:szCs w:val="20"/>
          <w:lang w:val="en-GB"/>
        </w:rPr>
        <w:t xml:space="preserve"> 18-21 year old studying full-time, frequently at a distance from the family home. An ever increasing percentage of HE level study is undertaken by those in work, taking qualifications part time. For some, their studies are fitted around their work pattern; however for many the reason for their choice of HE </w:t>
      </w:r>
      <w:r w:rsidR="009576D7">
        <w:rPr>
          <w:sz w:val="20"/>
          <w:szCs w:val="20"/>
          <w:lang w:val="en-GB"/>
        </w:rPr>
        <w:t>course</w:t>
      </w:r>
      <w:r>
        <w:rPr>
          <w:sz w:val="20"/>
          <w:szCs w:val="20"/>
          <w:lang w:val="en-GB"/>
        </w:rPr>
        <w:t xml:space="preserve"> is that it helps both their current job performance and future employability in their chosen profession. </w:t>
      </w:r>
      <w:r w:rsidR="000B47B5">
        <w:rPr>
          <w:sz w:val="20"/>
          <w:szCs w:val="20"/>
          <w:lang w:val="en-GB"/>
        </w:rPr>
        <w:t xml:space="preserve">Employers are incredibly </w:t>
      </w:r>
      <w:r w:rsidR="000B47B5">
        <w:rPr>
          <w:sz w:val="20"/>
          <w:szCs w:val="20"/>
          <w:lang w:val="en-GB"/>
        </w:rPr>
        <w:lastRenderedPageBreak/>
        <w:t>influential in facilitating this change. For example increasing numbers of employers</w:t>
      </w:r>
      <w:r w:rsidR="00257A15">
        <w:rPr>
          <w:sz w:val="20"/>
          <w:szCs w:val="20"/>
          <w:lang w:val="en-GB"/>
        </w:rPr>
        <w:t xml:space="preserve"> make time for their staff to undertake study away from the work place and within it. </w:t>
      </w:r>
      <w:r w:rsidR="00E43879">
        <w:rPr>
          <w:sz w:val="20"/>
          <w:szCs w:val="20"/>
          <w:lang w:val="en-GB"/>
        </w:rPr>
        <w:t>They also p</w:t>
      </w:r>
      <w:r w:rsidR="00257A15">
        <w:rPr>
          <w:sz w:val="20"/>
          <w:szCs w:val="20"/>
          <w:lang w:val="en-GB"/>
        </w:rPr>
        <w:t>rovide advice, guidance and</w:t>
      </w:r>
      <w:r w:rsidR="00E43879">
        <w:rPr>
          <w:sz w:val="20"/>
          <w:szCs w:val="20"/>
          <w:lang w:val="en-GB"/>
        </w:rPr>
        <w:t>,</w:t>
      </w:r>
      <w:r w:rsidR="00257A15">
        <w:rPr>
          <w:sz w:val="20"/>
          <w:szCs w:val="20"/>
          <w:lang w:val="en-GB"/>
        </w:rPr>
        <w:t xml:space="preserve"> sometimes</w:t>
      </w:r>
      <w:r w:rsidR="00E43879">
        <w:rPr>
          <w:sz w:val="20"/>
          <w:szCs w:val="20"/>
          <w:lang w:val="en-GB"/>
        </w:rPr>
        <w:t>,</w:t>
      </w:r>
      <w:r w:rsidR="00257A15">
        <w:rPr>
          <w:sz w:val="20"/>
          <w:szCs w:val="20"/>
          <w:lang w:val="en-GB"/>
        </w:rPr>
        <w:t xml:space="preserve"> financial support to employees to enable them to develop their knowledge, skill and experience through further study.</w:t>
      </w:r>
    </w:p>
    <w:p w14:paraId="19AA1EB3" w14:textId="0BD79408" w:rsidR="003A729F" w:rsidRDefault="009576D7" w:rsidP="00EE05AE">
      <w:pPr>
        <w:spacing w:after="0"/>
        <w:ind w:left="720"/>
        <w:rPr>
          <w:sz w:val="20"/>
          <w:szCs w:val="20"/>
          <w:lang w:val="en-GB"/>
        </w:rPr>
      </w:pPr>
      <w:r w:rsidRPr="009576D7">
        <w:rPr>
          <w:sz w:val="20"/>
          <w:szCs w:val="20"/>
          <w:u w:val="single"/>
          <w:lang w:val="en-GB"/>
        </w:rPr>
        <w:t>Related HEI/FEC systems</w:t>
      </w:r>
      <w:r>
        <w:rPr>
          <w:sz w:val="20"/>
          <w:szCs w:val="20"/>
          <w:lang w:val="en-GB"/>
        </w:rPr>
        <w:t xml:space="preserve"> </w:t>
      </w:r>
      <w:r w:rsidR="007467F6">
        <w:rPr>
          <w:sz w:val="20"/>
          <w:szCs w:val="20"/>
          <w:lang w:val="en-GB"/>
        </w:rPr>
        <w:t>- Flexible forms of delivery: m</w:t>
      </w:r>
      <w:r w:rsidR="007467F6" w:rsidRPr="00680580">
        <w:rPr>
          <w:sz w:val="20"/>
          <w:szCs w:val="20"/>
          <w:lang w:val="en-GB"/>
        </w:rPr>
        <w:t xml:space="preserve">any </w:t>
      </w:r>
      <w:r w:rsidR="007467F6">
        <w:rPr>
          <w:sz w:val="20"/>
          <w:szCs w:val="20"/>
          <w:lang w:val="en-GB"/>
        </w:rPr>
        <w:t xml:space="preserve">HEI/FEC courses are </w:t>
      </w:r>
      <w:r w:rsidR="007467F6" w:rsidRPr="00680580">
        <w:rPr>
          <w:sz w:val="20"/>
          <w:szCs w:val="20"/>
          <w:lang w:val="en-GB"/>
        </w:rPr>
        <w:t>delivered full and/or part</w:t>
      </w:r>
      <w:r w:rsidR="00AE537B">
        <w:rPr>
          <w:sz w:val="20"/>
          <w:szCs w:val="20"/>
          <w:lang w:val="en-GB"/>
        </w:rPr>
        <w:t>-</w:t>
      </w:r>
      <w:r w:rsidR="007467F6" w:rsidRPr="00680580">
        <w:rPr>
          <w:sz w:val="20"/>
          <w:szCs w:val="20"/>
          <w:lang w:val="en-GB"/>
        </w:rPr>
        <w:t xml:space="preserve">time, with elements also available as short courses or </w:t>
      </w:r>
      <w:r w:rsidR="005257B3">
        <w:rPr>
          <w:sz w:val="20"/>
          <w:szCs w:val="20"/>
          <w:lang w:val="en-GB"/>
        </w:rPr>
        <w:t>continuing professional development [CPD]</w:t>
      </w:r>
      <w:r w:rsidR="007467F6" w:rsidRPr="00680580">
        <w:rPr>
          <w:sz w:val="20"/>
          <w:szCs w:val="20"/>
          <w:lang w:val="en-GB"/>
        </w:rPr>
        <w:t xml:space="preserve">; some awards can also be delivered flexibly in terms of the pattern of attendance or with electronic support. FD, HNC and HND awards are more vocational than traditional BA/BSc courses but include progression routes to further study at level 6 or link to professional body accreditation. </w:t>
      </w:r>
      <w:r w:rsidR="007467F6">
        <w:rPr>
          <w:sz w:val="20"/>
          <w:szCs w:val="20"/>
          <w:lang w:val="en-GB"/>
        </w:rPr>
        <w:t>Also increasingly mature students can gain Accreditation for Prior Learning [APL]</w:t>
      </w:r>
      <w:r w:rsidR="000E7B6E">
        <w:rPr>
          <w:sz w:val="20"/>
          <w:szCs w:val="20"/>
          <w:lang w:val="en-GB"/>
        </w:rPr>
        <w:t xml:space="preserve"> </w:t>
      </w:r>
      <w:r w:rsidR="007467F6">
        <w:rPr>
          <w:sz w:val="20"/>
          <w:szCs w:val="20"/>
          <w:lang w:val="en-GB"/>
        </w:rPr>
        <w:t>where</w:t>
      </w:r>
      <w:r w:rsidR="000E7B6E">
        <w:rPr>
          <w:sz w:val="20"/>
          <w:szCs w:val="20"/>
          <w:lang w:val="en-GB"/>
        </w:rPr>
        <w:t>by</w:t>
      </w:r>
      <w:r w:rsidR="007467F6">
        <w:rPr>
          <w:sz w:val="20"/>
          <w:szCs w:val="20"/>
          <w:lang w:val="en-GB"/>
        </w:rPr>
        <w:t xml:space="preserve"> employees</w:t>
      </w:r>
      <w:r w:rsidR="00121DEA">
        <w:rPr>
          <w:sz w:val="20"/>
          <w:szCs w:val="20"/>
          <w:lang w:val="en-GB"/>
        </w:rPr>
        <w:t>’</w:t>
      </w:r>
      <w:r w:rsidR="007467F6">
        <w:rPr>
          <w:sz w:val="20"/>
          <w:szCs w:val="20"/>
          <w:lang w:val="en-GB"/>
        </w:rPr>
        <w:t xml:space="preserve"> past certificated learning and/or experience </w:t>
      </w:r>
      <w:r w:rsidR="007F3FA9">
        <w:rPr>
          <w:sz w:val="20"/>
          <w:szCs w:val="20"/>
          <w:lang w:val="en-GB"/>
        </w:rPr>
        <w:t xml:space="preserve">is assessed to help them undertake HE study at an appropriate level and giving credit for learning already achieved in the workplace. </w:t>
      </w:r>
      <w:r w:rsidR="001806BF">
        <w:rPr>
          <w:sz w:val="20"/>
          <w:szCs w:val="20"/>
          <w:lang w:val="en-GB"/>
        </w:rPr>
        <w:t>Some employers work with HEI/FECs to devise HE programmes that are designed specifically for their own workforce. Other employers are seeking HEI accreditation for their in</w:t>
      </w:r>
      <w:r w:rsidR="00E7605D">
        <w:rPr>
          <w:sz w:val="20"/>
          <w:szCs w:val="20"/>
          <w:lang w:val="en-GB"/>
        </w:rPr>
        <w:t>-</w:t>
      </w:r>
      <w:r w:rsidR="001806BF">
        <w:rPr>
          <w:sz w:val="20"/>
          <w:szCs w:val="20"/>
          <w:lang w:val="en-GB"/>
        </w:rPr>
        <w:t xml:space="preserve">house training. </w:t>
      </w:r>
    </w:p>
    <w:p w14:paraId="2E68756C" w14:textId="77777777" w:rsidR="00923BA7" w:rsidRDefault="00923BA7" w:rsidP="00EE05AE">
      <w:pPr>
        <w:spacing w:after="0"/>
        <w:ind w:left="360"/>
        <w:rPr>
          <w:sz w:val="20"/>
          <w:szCs w:val="20"/>
          <w:lang w:val="en-GB"/>
        </w:rPr>
      </w:pPr>
    </w:p>
    <w:p w14:paraId="786D7324" w14:textId="77777777" w:rsidR="003A729F" w:rsidRPr="000F6B31" w:rsidRDefault="003A729F" w:rsidP="00EE05AE">
      <w:pPr>
        <w:pStyle w:val="ListParagraph"/>
        <w:numPr>
          <w:ilvl w:val="0"/>
          <w:numId w:val="21"/>
        </w:numPr>
        <w:spacing w:after="0"/>
        <w:rPr>
          <w:sz w:val="20"/>
          <w:szCs w:val="20"/>
          <w:u w:val="single"/>
          <w:lang w:val="en-GB"/>
        </w:rPr>
      </w:pPr>
      <w:r w:rsidRPr="000F6B31">
        <w:rPr>
          <w:sz w:val="20"/>
          <w:szCs w:val="20"/>
          <w:u w:val="single"/>
          <w:lang w:val="en-GB"/>
        </w:rPr>
        <w:t>Enhancement of the s</w:t>
      </w:r>
      <w:r w:rsidR="00A94EC3" w:rsidRPr="000F6B31">
        <w:rPr>
          <w:sz w:val="20"/>
          <w:szCs w:val="20"/>
          <w:u w:val="single"/>
          <w:lang w:val="en-GB"/>
        </w:rPr>
        <w:t>tudent experience</w:t>
      </w:r>
    </w:p>
    <w:p w14:paraId="19E73427" w14:textId="600FA08E" w:rsidR="009D7A72" w:rsidRDefault="009D7A72" w:rsidP="00EE05AE">
      <w:pPr>
        <w:pStyle w:val="ListParagraph"/>
        <w:spacing w:after="0"/>
        <w:rPr>
          <w:sz w:val="20"/>
          <w:szCs w:val="20"/>
          <w:lang w:val="en-GB"/>
        </w:rPr>
      </w:pPr>
      <w:r>
        <w:rPr>
          <w:sz w:val="20"/>
          <w:szCs w:val="20"/>
          <w:lang w:val="en-GB"/>
        </w:rPr>
        <w:t xml:space="preserve">As well as employer involvement in the design of courses described above, employers </w:t>
      </w:r>
      <w:r w:rsidR="00C635FD">
        <w:rPr>
          <w:sz w:val="20"/>
          <w:szCs w:val="20"/>
          <w:lang w:val="en-GB"/>
        </w:rPr>
        <w:t>increasingly</w:t>
      </w:r>
      <w:r>
        <w:rPr>
          <w:sz w:val="20"/>
          <w:szCs w:val="20"/>
          <w:lang w:val="en-GB"/>
        </w:rPr>
        <w:t xml:space="preserve"> have a role to play in the delivery and assessment of HE courses. </w:t>
      </w:r>
      <w:r w:rsidR="00C635FD">
        <w:rPr>
          <w:sz w:val="20"/>
          <w:szCs w:val="20"/>
          <w:lang w:val="en-GB"/>
        </w:rPr>
        <w:t xml:space="preserve">The time has long gone where HE courses were subject focused and the link to work was confined to careers advice. Now </w:t>
      </w:r>
      <w:r w:rsidR="000E7B6E">
        <w:rPr>
          <w:sz w:val="20"/>
          <w:szCs w:val="20"/>
          <w:lang w:val="en-GB"/>
        </w:rPr>
        <w:t>WBL</w:t>
      </w:r>
      <w:r w:rsidR="00C635FD">
        <w:rPr>
          <w:sz w:val="20"/>
          <w:szCs w:val="20"/>
          <w:lang w:val="en-GB"/>
        </w:rPr>
        <w:t xml:space="preserve">, employability and the use </w:t>
      </w:r>
      <w:r w:rsidR="00121DEA">
        <w:rPr>
          <w:sz w:val="20"/>
          <w:szCs w:val="20"/>
          <w:lang w:val="en-GB"/>
        </w:rPr>
        <w:t xml:space="preserve">of </w:t>
      </w:r>
      <w:r w:rsidR="00C635FD">
        <w:rPr>
          <w:sz w:val="20"/>
          <w:szCs w:val="20"/>
          <w:lang w:val="en-GB"/>
        </w:rPr>
        <w:t xml:space="preserve">real </w:t>
      </w:r>
      <w:r w:rsidR="00C635FD" w:rsidRPr="006D0CEC">
        <w:rPr>
          <w:sz w:val="20"/>
          <w:szCs w:val="20"/>
          <w:lang w:val="en-GB"/>
        </w:rPr>
        <w:t xml:space="preserve">world situations/data and </w:t>
      </w:r>
      <w:r w:rsidR="00121DEA">
        <w:rPr>
          <w:sz w:val="20"/>
          <w:szCs w:val="20"/>
          <w:lang w:val="en-GB"/>
        </w:rPr>
        <w:t xml:space="preserve">the </w:t>
      </w:r>
      <w:r w:rsidR="00C635FD" w:rsidRPr="006D0CEC">
        <w:rPr>
          <w:sz w:val="20"/>
          <w:szCs w:val="20"/>
          <w:lang w:val="en-GB"/>
        </w:rPr>
        <w:t xml:space="preserve">application </w:t>
      </w:r>
      <w:r w:rsidR="00121DEA">
        <w:rPr>
          <w:sz w:val="20"/>
          <w:szCs w:val="20"/>
          <w:lang w:val="en-GB"/>
        </w:rPr>
        <w:t xml:space="preserve">of </w:t>
      </w:r>
      <w:r w:rsidR="00C635FD" w:rsidRPr="006D0CEC">
        <w:rPr>
          <w:sz w:val="20"/>
          <w:szCs w:val="20"/>
          <w:lang w:val="en-GB"/>
        </w:rPr>
        <w:t>real world problems is core to most HE courses</w:t>
      </w:r>
      <w:r w:rsidR="006D0CEC" w:rsidRPr="006D0CEC">
        <w:rPr>
          <w:sz w:val="20"/>
          <w:szCs w:val="20"/>
          <w:lang w:val="en-GB"/>
        </w:rPr>
        <w:t xml:space="preserve"> – as advocated in the </w:t>
      </w:r>
      <w:r w:rsidR="006D0CEC" w:rsidRPr="006D0CEC">
        <w:rPr>
          <w:sz w:val="20"/>
          <w:szCs w:val="20"/>
        </w:rPr>
        <w:t xml:space="preserve">Leitch Report - </w:t>
      </w:r>
      <w:hyperlink r:id="rId9" w:history="1">
        <w:r w:rsidR="006D0CEC" w:rsidRPr="006D0CEC">
          <w:rPr>
            <w:rStyle w:val="Hyperlink"/>
            <w:sz w:val="20"/>
            <w:szCs w:val="20"/>
          </w:rPr>
          <w:t>http://www.delni.gov.uk/index/publications/pubs-further-education/the-leitch-review-of-skills.htm</w:t>
        </w:r>
      </w:hyperlink>
      <w:r w:rsidR="006D0CEC">
        <w:t xml:space="preserve"> </w:t>
      </w:r>
    </w:p>
    <w:p w14:paraId="55C86A3F" w14:textId="77777777" w:rsidR="006D42FB" w:rsidRPr="003A729F" w:rsidRDefault="006D42FB" w:rsidP="00EE05AE">
      <w:pPr>
        <w:pStyle w:val="ListParagraph"/>
        <w:spacing w:after="0"/>
        <w:rPr>
          <w:sz w:val="20"/>
          <w:szCs w:val="20"/>
          <w:lang w:val="en-GB"/>
        </w:rPr>
      </w:pPr>
      <w:r w:rsidRPr="009576D7">
        <w:rPr>
          <w:sz w:val="20"/>
          <w:szCs w:val="20"/>
          <w:u w:val="single"/>
          <w:lang w:val="en-GB"/>
        </w:rPr>
        <w:t>Related HEI/FEC systems</w:t>
      </w:r>
      <w:r>
        <w:rPr>
          <w:sz w:val="20"/>
          <w:szCs w:val="20"/>
          <w:lang w:val="en-GB"/>
        </w:rPr>
        <w:t xml:space="preserve"> - Key ways in which employers contribute to courses include:</w:t>
      </w:r>
    </w:p>
    <w:p w14:paraId="04A0E7EE" w14:textId="528F5D86" w:rsidR="0017064F" w:rsidRDefault="006D42FB" w:rsidP="00EE05AE">
      <w:pPr>
        <w:pStyle w:val="ListParagraph"/>
        <w:numPr>
          <w:ilvl w:val="1"/>
          <w:numId w:val="5"/>
        </w:numPr>
        <w:spacing w:after="0"/>
        <w:ind w:left="1276"/>
        <w:rPr>
          <w:sz w:val="20"/>
          <w:szCs w:val="20"/>
          <w:lang w:val="en-GB"/>
        </w:rPr>
      </w:pPr>
      <w:r>
        <w:rPr>
          <w:sz w:val="20"/>
          <w:szCs w:val="20"/>
          <w:lang w:val="en-GB"/>
        </w:rPr>
        <w:t xml:space="preserve">Providing </w:t>
      </w:r>
      <w:r w:rsidR="000E7B6E">
        <w:rPr>
          <w:sz w:val="20"/>
          <w:szCs w:val="20"/>
          <w:lang w:val="en-GB"/>
        </w:rPr>
        <w:t>WBL</w:t>
      </w:r>
      <w:r w:rsidR="003A729F">
        <w:rPr>
          <w:sz w:val="20"/>
          <w:szCs w:val="20"/>
          <w:lang w:val="en-GB"/>
        </w:rPr>
        <w:t xml:space="preserve"> </w:t>
      </w:r>
      <w:r>
        <w:rPr>
          <w:sz w:val="20"/>
          <w:szCs w:val="20"/>
          <w:lang w:val="en-GB"/>
        </w:rPr>
        <w:t xml:space="preserve">opportunities </w:t>
      </w:r>
      <w:r w:rsidR="00951A4F">
        <w:rPr>
          <w:sz w:val="20"/>
          <w:szCs w:val="20"/>
          <w:lang w:val="en-GB"/>
        </w:rPr>
        <w:t xml:space="preserve">that are integrated into the curriculum </w:t>
      </w:r>
      <w:r>
        <w:rPr>
          <w:sz w:val="20"/>
          <w:szCs w:val="20"/>
          <w:lang w:val="en-GB"/>
        </w:rPr>
        <w:t xml:space="preserve"> </w:t>
      </w:r>
    </w:p>
    <w:p w14:paraId="2BEE3E4C" w14:textId="6103B3C5" w:rsidR="00376579" w:rsidRDefault="00376579" w:rsidP="00EE05AE">
      <w:pPr>
        <w:pStyle w:val="ListParagraph"/>
        <w:numPr>
          <w:ilvl w:val="1"/>
          <w:numId w:val="5"/>
        </w:numPr>
        <w:spacing w:after="0"/>
        <w:ind w:left="1276"/>
        <w:rPr>
          <w:sz w:val="20"/>
          <w:szCs w:val="20"/>
          <w:lang w:val="en-GB"/>
        </w:rPr>
      </w:pPr>
      <w:r>
        <w:rPr>
          <w:sz w:val="20"/>
          <w:szCs w:val="20"/>
          <w:lang w:val="en-GB"/>
        </w:rPr>
        <w:t xml:space="preserve">Providing </w:t>
      </w:r>
      <w:r w:rsidR="00A96BB8">
        <w:rPr>
          <w:sz w:val="20"/>
          <w:szCs w:val="20"/>
          <w:lang w:val="en-GB"/>
        </w:rPr>
        <w:t>in</w:t>
      </w:r>
      <w:r w:rsidR="00F94DEF">
        <w:rPr>
          <w:sz w:val="20"/>
          <w:szCs w:val="20"/>
          <w:lang w:val="en-GB"/>
        </w:rPr>
        <w:t>-</w:t>
      </w:r>
      <w:r w:rsidR="00A96BB8">
        <w:rPr>
          <w:sz w:val="20"/>
          <w:szCs w:val="20"/>
          <w:lang w:val="en-GB"/>
        </w:rPr>
        <w:t xml:space="preserve">course </w:t>
      </w:r>
      <w:r>
        <w:rPr>
          <w:sz w:val="20"/>
          <w:szCs w:val="20"/>
          <w:lang w:val="en-GB"/>
        </w:rPr>
        <w:t>w</w:t>
      </w:r>
      <w:r w:rsidRPr="003A729F">
        <w:rPr>
          <w:sz w:val="20"/>
          <w:szCs w:val="20"/>
          <w:lang w:val="en-GB"/>
        </w:rPr>
        <w:t xml:space="preserve">ork </w:t>
      </w:r>
      <w:r>
        <w:rPr>
          <w:sz w:val="20"/>
          <w:szCs w:val="20"/>
          <w:lang w:val="en-GB"/>
        </w:rPr>
        <w:t>placement opportunities ranging from a few hours to a year long placement</w:t>
      </w:r>
    </w:p>
    <w:p w14:paraId="6DD8C339" w14:textId="77777777" w:rsidR="003A729F" w:rsidRDefault="00376579" w:rsidP="00EE05AE">
      <w:pPr>
        <w:pStyle w:val="ListParagraph"/>
        <w:numPr>
          <w:ilvl w:val="1"/>
          <w:numId w:val="5"/>
        </w:numPr>
        <w:spacing w:after="0"/>
        <w:ind w:left="1276"/>
        <w:rPr>
          <w:sz w:val="20"/>
          <w:szCs w:val="20"/>
          <w:lang w:val="en-GB"/>
        </w:rPr>
      </w:pPr>
      <w:r>
        <w:rPr>
          <w:sz w:val="20"/>
          <w:szCs w:val="20"/>
          <w:lang w:val="en-GB"/>
        </w:rPr>
        <w:t>Acting as a mentor to a work based learner</w:t>
      </w:r>
    </w:p>
    <w:p w14:paraId="2FC644D7" w14:textId="77777777" w:rsidR="003A729F" w:rsidRDefault="003A729F" w:rsidP="00EE05AE">
      <w:pPr>
        <w:pStyle w:val="ListParagraph"/>
        <w:numPr>
          <w:ilvl w:val="1"/>
          <w:numId w:val="5"/>
        </w:numPr>
        <w:spacing w:after="0"/>
        <w:ind w:left="1276"/>
        <w:rPr>
          <w:sz w:val="20"/>
          <w:szCs w:val="20"/>
          <w:lang w:val="en-GB"/>
        </w:rPr>
      </w:pPr>
      <w:r>
        <w:rPr>
          <w:sz w:val="20"/>
          <w:szCs w:val="20"/>
          <w:lang w:val="en-GB"/>
        </w:rPr>
        <w:t>Assess</w:t>
      </w:r>
      <w:r w:rsidR="00376579">
        <w:rPr>
          <w:sz w:val="20"/>
          <w:szCs w:val="20"/>
          <w:lang w:val="en-GB"/>
        </w:rPr>
        <w:t xml:space="preserve">ing </w:t>
      </w:r>
      <w:r w:rsidR="006D42FB">
        <w:rPr>
          <w:sz w:val="20"/>
          <w:szCs w:val="20"/>
          <w:lang w:val="en-GB"/>
        </w:rPr>
        <w:t>WBL</w:t>
      </w:r>
      <w:r w:rsidR="00951A4F">
        <w:rPr>
          <w:sz w:val="20"/>
          <w:szCs w:val="20"/>
          <w:lang w:val="en-GB"/>
        </w:rPr>
        <w:t xml:space="preserve"> or working with HEI/FEC staff to assess on-campus student work</w:t>
      </w:r>
    </w:p>
    <w:p w14:paraId="644BAB91" w14:textId="77777777" w:rsidR="00951A4F" w:rsidRPr="00E72CC3" w:rsidRDefault="00951A4F" w:rsidP="00EE05AE">
      <w:pPr>
        <w:pStyle w:val="ListParagraph"/>
        <w:numPr>
          <w:ilvl w:val="1"/>
          <w:numId w:val="5"/>
        </w:numPr>
        <w:spacing w:after="0"/>
        <w:ind w:left="1276"/>
        <w:rPr>
          <w:sz w:val="20"/>
          <w:szCs w:val="20"/>
          <w:lang w:val="en-GB"/>
        </w:rPr>
      </w:pPr>
      <w:r>
        <w:rPr>
          <w:sz w:val="20"/>
          <w:szCs w:val="20"/>
          <w:lang w:val="en-GB"/>
        </w:rPr>
        <w:t xml:space="preserve">Providing real life case </w:t>
      </w:r>
      <w:r w:rsidRPr="00E72CC3">
        <w:rPr>
          <w:sz w:val="20"/>
          <w:szCs w:val="20"/>
          <w:lang w:val="en-GB"/>
        </w:rPr>
        <w:t>studies and data to underpin student assessment tasks</w:t>
      </w:r>
    </w:p>
    <w:p w14:paraId="4601D41C" w14:textId="77777777" w:rsidR="006D42FB" w:rsidRPr="00E72CC3" w:rsidRDefault="00951A4F" w:rsidP="00EE05AE">
      <w:pPr>
        <w:pStyle w:val="ListParagraph"/>
        <w:numPr>
          <w:ilvl w:val="1"/>
          <w:numId w:val="5"/>
        </w:numPr>
        <w:spacing w:after="0"/>
        <w:ind w:left="1276"/>
        <w:rPr>
          <w:sz w:val="20"/>
          <w:szCs w:val="20"/>
          <w:lang w:val="en-GB"/>
        </w:rPr>
      </w:pPr>
      <w:r w:rsidRPr="00E72CC3">
        <w:rPr>
          <w:sz w:val="20"/>
          <w:szCs w:val="20"/>
          <w:lang w:val="en-GB"/>
        </w:rPr>
        <w:t>Offering work based, live project briefs for students</w:t>
      </w:r>
    </w:p>
    <w:p w14:paraId="4F33085E" w14:textId="66148174" w:rsidR="006D0CEC" w:rsidRPr="006D0CEC" w:rsidRDefault="00951A4F" w:rsidP="00EE05AE">
      <w:pPr>
        <w:pStyle w:val="ListParagraph"/>
        <w:numPr>
          <w:ilvl w:val="1"/>
          <w:numId w:val="5"/>
        </w:numPr>
        <w:spacing w:after="0"/>
        <w:ind w:left="1276"/>
        <w:rPr>
          <w:sz w:val="20"/>
          <w:szCs w:val="20"/>
          <w:lang w:val="en-GB"/>
        </w:rPr>
      </w:pPr>
      <w:r w:rsidRPr="006D0CEC">
        <w:rPr>
          <w:sz w:val="20"/>
          <w:szCs w:val="20"/>
          <w:lang w:val="en-GB"/>
        </w:rPr>
        <w:t>Delivering lectures, workshops et</w:t>
      </w:r>
      <w:r w:rsidR="00F94DEF">
        <w:rPr>
          <w:sz w:val="20"/>
          <w:szCs w:val="20"/>
          <w:lang w:val="en-GB"/>
        </w:rPr>
        <w:t>c.</w:t>
      </w:r>
      <w:r w:rsidRPr="006D0CEC">
        <w:rPr>
          <w:sz w:val="20"/>
          <w:szCs w:val="20"/>
          <w:lang w:val="en-GB"/>
        </w:rPr>
        <w:t xml:space="preserve"> for specific aspects of the curriculum</w:t>
      </w:r>
    </w:p>
    <w:p w14:paraId="73D4E1F3" w14:textId="77777777" w:rsidR="00A96BB8" w:rsidRDefault="00A96BB8" w:rsidP="00EE05AE">
      <w:pPr>
        <w:pStyle w:val="ListParagraph"/>
        <w:numPr>
          <w:ilvl w:val="1"/>
          <w:numId w:val="5"/>
        </w:numPr>
        <w:spacing w:after="0"/>
        <w:ind w:left="1276"/>
        <w:rPr>
          <w:sz w:val="20"/>
          <w:szCs w:val="20"/>
          <w:lang w:val="en-GB"/>
        </w:rPr>
      </w:pPr>
      <w:r>
        <w:rPr>
          <w:sz w:val="20"/>
          <w:szCs w:val="20"/>
          <w:lang w:val="en-GB"/>
        </w:rPr>
        <w:t xml:space="preserve">Providing graduate internships </w:t>
      </w:r>
    </w:p>
    <w:p w14:paraId="48ED2562" w14:textId="77777777" w:rsidR="006D0CEC" w:rsidRPr="006D0CEC" w:rsidRDefault="006D0CEC" w:rsidP="00EE05AE">
      <w:pPr>
        <w:pStyle w:val="ListParagraph"/>
        <w:numPr>
          <w:ilvl w:val="1"/>
          <w:numId w:val="5"/>
        </w:numPr>
        <w:spacing w:after="0"/>
        <w:ind w:left="1276"/>
        <w:rPr>
          <w:sz w:val="20"/>
          <w:szCs w:val="20"/>
          <w:lang w:val="en-GB"/>
        </w:rPr>
      </w:pPr>
      <w:r w:rsidRPr="006D0CEC">
        <w:rPr>
          <w:sz w:val="20"/>
          <w:szCs w:val="20"/>
        </w:rPr>
        <w:t>Providing up to date examples of career entry and progression – as students really value hearing this information from an employer perspective.</w:t>
      </w:r>
    </w:p>
    <w:p w14:paraId="4CBFEF0D" w14:textId="77777777" w:rsidR="006D0CEC" w:rsidRDefault="006D0CEC" w:rsidP="00EE05AE">
      <w:pPr>
        <w:spacing w:after="0"/>
        <w:ind w:left="720"/>
        <w:rPr>
          <w:sz w:val="20"/>
          <w:szCs w:val="20"/>
          <w:lang w:val="en-GB"/>
        </w:rPr>
      </w:pPr>
    </w:p>
    <w:p w14:paraId="7A42A660" w14:textId="7C570F0E" w:rsidR="008A12A7" w:rsidRDefault="008A12A7" w:rsidP="00EE05AE">
      <w:pPr>
        <w:spacing w:after="0"/>
        <w:ind w:left="720"/>
        <w:rPr>
          <w:sz w:val="20"/>
          <w:szCs w:val="20"/>
          <w:lang w:val="en-GB"/>
        </w:rPr>
      </w:pPr>
      <w:r>
        <w:rPr>
          <w:sz w:val="20"/>
          <w:szCs w:val="20"/>
          <w:lang w:val="en-GB"/>
        </w:rPr>
        <w:t>As w</w:t>
      </w:r>
      <w:r w:rsidR="00DE7E89">
        <w:rPr>
          <w:sz w:val="20"/>
          <w:szCs w:val="20"/>
          <w:lang w:val="en-GB"/>
        </w:rPr>
        <w:t>ell</w:t>
      </w:r>
      <w:r>
        <w:rPr>
          <w:sz w:val="20"/>
          <w:szCs w:val="20"/>
          <w:lang w:val="en-GB"/>
        </w:rPr>
        <w:t xml:space="preserve"> as having a direct impact on the quality of the student experience</w:t>
      </w:r>
      <w:r w:rsidR="00121DEA">
        <w:rPr>
          <w:sz w:val="20"/>
          <w:szCs w:val="20"/>
          <w:lang w:val="en-GB"/>
        </w:rPr>
        <w:t>,</w:t>
      </w:r>
      <w:r>
        <w:rPr>
          <w:sz w:val="20"/>
          <w:szCs w:val="20"/>
          <w:lang w:val="en-GB"/>
        </w:rPr>
        <w:t xml:space="preserve"> </w:t>
      </w:r>
      <w:r w:rsidR="00201FA5">
        <w:rPr>
          <w:sz w:val="20"/>
          <w:szCs w:val="20"/>
          <w:lang w:val="en-GB"/>
        </w:rPr>
        <w:t>e</w:t>
      </w:r>
      <w:r>
        <w:rPr>
          <w:sz w:val="20"/>
          <w:szCs w:val="20"/>
          <w:lang w:val="en-GB"/>
        </w:rPr>
        <w:t xml:space="preserve">mployer </w:t>
      </w:r>
      <w:r w:rsidR="00201FA5">
        <w:rPr>
          <w:sz w:val="20"/>
          <w:szCs w:val="20"/>
          <w:lang w:val="en-GB"/>
        </w:rPr>
        <w:t>e</w:t>
      </w:r>
      <w:r>
        <w:rPr>
          <w:sz w:val="20"/>
          <w:szCs w:val="20"/>
          <w:lang w:val="en-GB"/>
        </w:rPr>
        <w:t>ngagement also helps to develop the staff that deliver and manage the student experience through:</w:t>
      </w:r>
    </w:p>
    <w:p w14:paraId="69F5BD37" w14:textId="77777777" w:rsidR="00DC2B23" w:rsidRPr="007C6B5E" w:rsidRDefault="00DC2B23" w:rsidP="00EE05AE">
      <w:pPr>
        <w:pStyle w:val="ListParagraph"/>
        <w:numPr>
          <w:ilvl w:val="1"/>
          <w:numId w:val="5"/>
        </w:numPr>
        <w:spacing w:after="0" w:line="240" w:lineRule="auto"/>
        <w:ind w:left="1276"/>
        <w:rPr>
          <w:sz w:val="20"/>
          <w:szCs w:val="20"/>
          <w:lang w:val="en-GB"/>
        </w:rPr>
      </w:pPr>
      <w:r w:rsidRPr="007C6B5E">
        <w:rPr>
          <w:sz w:val="20"/>
          <w:szCs w:val="20"/>
          <w:lang w:val="en-GB"/>
        </w:rPr>
        <w:t>Visits to employers help develop practice and context understanding that can be built back into teaching</w:t>
      </w:r>
    </w:p>
    <w:p w14:paraId="1368C911" w14:textId="77777777" w:rsidR="00DC2B23" w:rsidRPr="007C6B5E" w:rsidRDefault="00DC2B23" w:rsidP="00EE05AE">
      <w:pPr>
        <w:pStyle w:val="ListParagraph"/>
        <w:numPr>
          <w:ilvl w:val="1"/>
          <w:numId w:val="5"/>
        </w:numPr>
        <w:spacing w:after="0" w:line="240" w:lineRule="auto"/>
        <w:ind w:left="1276"/>
        <w:rPr>
          <w:sz w:val="20"/>
          <w:szCs w:val="20"/>
          <w:lang w:val="en-GB"/>
        </w:rPr>
      </w:pPr>
      <w:r w:rsidRPr="007C6B5E">
        <w:rPr>
          <w:sz w:val="20"/>
          <w:szCs w:val="20"/>
          <w:lang w:val="en-GB"/>
        </w:rPr>
        <w:t>Building case studies</w:t>
      </w:r>
      <w:r w:rsidR="007C6B5E" w:rsidRPr="007C6B5E">
        <w:rPr>
          <w:sz w:val="20"/>
          <w:szCs w:val="20"/>
          <w:lang w:val="en-GB"/>
        </w:rPr>
        <w:t xml:space="preserve"> and current problems / issues into teaching based -</w:t>
      </w:r>
      <w:r w:rsidRPr="007C6B5E">
        <w:rPr>
          <w:sz w:val="20"/>
          <w:szCs w:val="20"/>
          <w:lang w:val="en-GB"/>
        </w:rPr>
        <w:t xml:space="preserve"> real business scenarios</w:t>
      </w:r>
    </w:p>
    <w:p w14:paraId="35F63BBC" w14:textId="77777777" w:rsidR="008A12A7" w:rsidRPr="007C6B5E" w:rsidRDefault="00DC2B23" w:rsidP="00EE05AE">
      <w:pPr>
        <w:pStyle w:val="ListParagraph"/>
        <w:numPr>
          <w:ilvl w:val="1"/>
          <w:numId w:val="5"/>
        </w:numPr>
        <w:spacing w:after="0" w:line="240" w:lineRule="auto"/>
        <w:ind w:left="1276"/>
        <w:rPr>
          <w:sz w:val="20"/>
          <w:szCs w:val="20"/>
          <w:lang w:val="en-GB"/>
        </w:rPr>
      </w:pPr>
      <w:r w:rsidRPr="007C6B5E">
        <w:rPr>
          <w:sz w:val="20"/>
          <w:szCs w:val="20"/>
          <w:lang w:val="en-GB"/>
        </w:rPr>
        <w:t>Developing student or research projects with employers</w:t>
      </w:r>
    </w:p>
    <w:p w14:paraId="425E7BBB" w14:textId="77777777" w:rsidR="008A12A7" w:rsidRPr="007C6B5E" w:rsidRDefault="00DC2B23" w:rsidP="00EE05AE">
      <w:pPr>
        <w:pStyle w:val="ListParagraph"/>
        <w:numPr>
          <w:ilvl w:val="1"/>
          <w:numId w:val="5"/>
        </w:numPr>
        <w:spacing w:after="0" w:line="240" w:lineRule="auto"/>
        <w:ind w:left="1276"/>
        <w:rPr>
          <w:sz w:val="20"/>
          <w:szCs w:val="20"/>
          <w:lang w:val="en-GB"/>
        </w:rPr>
      </w:pPr>
      <w:r w:rsidRPr="007C6B5E">
        <w:rPr>
          <w:sz w:val="20"/>
          <w:szCs w:val="20"/>
          <w:lang w:val="en-GB"/>
        </w:rPr>
        <w:t xml:space="preserve">Helping teaching staff to </w:t>
      </w:r>
      <w:r w:rsidR="008A12A7" w:rsidRPr="007C6B5E">
        <w:rPr>
          <w:sz w:val="20"/>
          <w:szCs w:val="20"/>
          <w:lang w:val="en-GB"/>
        </w:rPr>
        <w:t>understand</w:t>
      </w:r>
      <w:r w:rsidRPr="007C6B5E">
        <w:rPr>
          <w:sz w:val="20"/>
          <w:szCs w:val="20"/>
          <w:lang w:val="en-GB"/>
        </w:rPr>
        <w:t xml:space="preserve"> and communicate </w:t>
      </w:r>
      <w:r w:rsidR="008A12A7" w:rsidRPr="007C6B5E">
        <w:rPr>
          <w:sz w:val="20"/>
          <w:szCs w:val="20"/>
          <w:lang w:val="en-GB"/>
        </w:rPr>
        <w:t xml:space="preserve">the </w:t>
      </w:r>
      <w:r w:rsidRPr="007C6B5E">
        <w:rPr>
          <w:sz w:val="20"/>
          <w:szCs w:val="20"/>
          <w:lang w:val="en-GB"/>
        </w:rPr>
        <w:t xml:space="preserve">deployment </w:t>
      </w:r>
      <w:r w:rsidR="008A12A7" w:rsidRPr="007C6B5E">
        <w:rPr>
          <w:sz w:val="20"/>
          <w:szCs w:val="20"/>
          <w:lang w:val="en-GB"/>
        </w:rPr>
        <w:t>of skills and knowledge in</w:t>
      </w:r>
      <w:r w:rsidRPr="007C6B5E">
        <w:rPr>
          <w:sz w:val="20"/>
          <w:szCs w:val="20"/>
          <w:lang w:val="en-GB"/>
        </w:rPr>
        <w:t xml:space="preserve"> specific </w:t>
      </w:r>
      <w:r w:rsidR="008A12A7" w:rsidRPr="007C6B5E">
        <w:rPr>
          <w:sz w:val="20"/>
          <w:szCs w:val="20"/>
          <w:lang w:val="en-GB"/>
        </w:rPr>
        <w:t xml:space="preserve"> workplace</w:t>
      </w:r>
      <w:r w:rsidRPr="007C6B5E">
        <w:rPr>
          <w:sz w:val="20"/>
          <w:szCs w:val="20"/>
          <w:lang w:val="en-GB"/>
        </w:rPr>
        <w:t>s</w:t>
      </w:r>
    </w:p>
    <w:p w14:paraId="3DBD8602" w14:textId="420F0B98" w:rsidR="008A12A7" w:rsidRPr="007C6B5E" w:rsidRDefault="00DC2B23" w:rsidP="00EE05AE">
      <w:pPr>
        <w:pStyle w:val="ListParagraph"/>
        <w:numPr>
          <w:ilvl w:val="1"/>
          <w:numId w:val="5"/>
        </w:numPr>
        <w:spacing w:after="0" w:line="240" w:lineRule="auto"/>
        <w:ind w:left="1276"/>
        <w:rPr>
          <w:sz w:val="20"/>
          <w:szCs w:val="20"/>
          <w:lang w:val="en-GB"/>
        </w:rPr>
      </w:pPr>
      <w:r w:rsidRPr="007C6B5E">
        <w:rPr>
          <w:sz w:val="20"/>
          <w:szCs w:val="20"/>
          <w:lang w:val="en-GB"/>
        </w:rPr>
        <w:t>Underpinning Information</w:t>
      </w:r>
      <w:r w:rsidR="00201FA5">
        <w:rPr>
          <w:sz w:val="20"/>
          <w:szCs w:val="20"/>
          <w:lang w:val="en-GB"/>
        </w:rPr>
        <w:t>,</w:t>
      </w:r>
      <w:r w:rsidRPr="007C6B5E">
        <w:rPr>
          <w:sz w:val="20"/>
          <w:szCs w:val="20"/>
          <w:lang w:val="en-GB"/>
        </w:rPr>
        <w:t xml:space="preserve"> Advice and Guidance [</w:t>
      </w:r>
      <w:r w:rsidR="008A12A7" w:rsidRPr="007C6B5E">
        <w:rPr>
          <w:sz w:val="20"/>
          <w:szCs w:val="20"/>
          <w:lang w:val="en-GB"/>
        </w:rPr>
        <w:t>IAG</w:t>
      </w:r>
      <w:r w:rsidRPr="007C6B5E">
        <w:rPr>
          <w:sz w:val="20"/>
          <w:szCs w:val="20"/>
          <w:lang w:val="en-GB"/>
        </w:rPr>
        <w:t xml:space="preserve">] and careers work with </w:t>
      </w:r>
      <w:r w:rsidR="007C6B5E" w:rsidRPr="007C6B5E">
        <w:rPr>
          <w:sz w:val="20"/>
          <w:szCs w:val="20"/>
          <w:lang w:val="en-GB"/>
        </w:rPr>
        <w:t>real world examples and feedback from employers and employees</w:t>
      </w:r>
    </w:p>
    <w:p w14:paraId="2ACAC2BC" w14:textId="77777777" w:rsidR="007C6B5E" w:rsidRPr="007C6B5E" w:rsidRDefault="007C6B5E" w:rsidP="00EE05AE">
      <w:pPr>
        <w:pStyle w:val="ListParagraph"/>
        <w:numPr>
          <w:ilvl w:val="1"/>
          <w:numId w:val="5"/>
        </w:numPr>
        <w:spacing w:after="0" w:line="240" w:lineRule="auto"/>
        <w:ind w:left="1276"/>
        <w:rPr>
          <w:sz w:val="20"/>
          <w:szCs w:val="20"/>
          <w:lang w:val="en-GB"/>
        </w:rPr>
      </w:pPr>
      <w:r w:rsidRPr="007C6B5E">
        <w:rPr>
          <w:sz w:val="20"/>
          <w:szCs w:val="20"/>
          <w:lang w:val="en-GB"/>
        </w:rPr>
        <w:t xml:space="preserve">Giving teaching staff ideas about </w:t>
      </w:r>
      <w:r w:rsidR="008A12A7" w:rsidRPr="007C6B5E">
        <w:rPr>
          <w:sz w:val="20"/>
          <w:szCs w:val="20"/>
          <w:lang w:val="en-GB"/>
        </w:rPr>
        <w:t>curriculum development</w:t>
      </w:r>
      <w:r w:rsidRPr="007C6B5E">
        <w:rPr>
          <w:sz w:val="20"/>
          <w:szCs w:val="20"/>
          <w:lang w:val="en-GB"/>
        </w:rPr>
        <w:t xml:space="preserve"> and assessment task design</w:t>
      </w:r>
    </w:p>
    <w:p w14:paraId="3F9D6F21" w14:textId="77777777" w:rsidR="008A12A7" w:rsidRPr="007C6B5E" w:rsidRDefault="007C6B5E" w:rsidP="00EE05AE">
      <w:pPr>
        <w:pStyle w:val="ListParagraph"/>
        <w:numPr>
          <w:ilvl w:val="1"/>
          <w:numId w:val="5"/>
        </w:numPr>
        <w:spacing w:after="0"/>
        <w:ind w:left="1276"/>
        <w:rPr>
          <w:sz w:val="20"/>
          <w:szCs w:val="20"/>
          <w:lang w:val="en-GB"/>
        </w:rPr>
      </w:pPr>
      <w:r w:rsidRPr="007C6B5E">
        <w:rPr>
          <w:sz w:val="20"/>
          <w:szCs w:val="20"/>
          <w:lang w:val="en-GB"/>
        </w:rPr>
        <w:t xml:space="preserve">The involvement of </w:t>
      </w:r>
      <w:r w:rsidR="008A12A7" w:rsidRPr="007C6B5E">
        <w:rPr>
          <w:sz w:val="20"/>
          <w:szCs w:val="20"/>
          <w:lang w:val="en-GB"/>
        </w:rPr>
        <w:t>practitioners</w:t>
      </w:r>
      <w:r w:rsidRPr="007C6B5E">
        <w:rPr>
          <w:sz w:val="20"/>
          <w:szCs w:val="20"/>
          <w:lang w:val="en-GB"/>
        </w:rPr>
        <w:t xml:space="preserve"> in assessment help focus feedback</w:t>
      </w:r>
    </w:p>
    <w:p w14:paraId="15BD0DBF" w14:textId="77777777" w:rsidR="00A94EC3" w:rsidRDefault="00A94EC3" w:rsidP="00EE05AE">
      <w:pPr>
        <w:spacing w:after="0"/>
        <w:ind w:left="360"/>
        <w:rPr>
          <w:sz w:val="20"/>
          <w:szCs w:val="20"/>
          <w:u w:val="single"/>
          <w:lang w:val="en-GB"/>
        </w:rPr>
      </w:pPr>
    </w:p>
    <w:p w14:paraId="10C51A2D" w14:textId="77777777" w:rsidR="007243A4" w:rsidRPr="009576D7" w:rsidRDefault="007243A4" w:rsidP="00EE05AE">
      <w:pPr>
        <w:pStyle w:val="ListParagraph"/>
        <w:numPr>
          <w:ilvl w:val="0"/>
          <w:numId w:val="22"/>
        </w:numPr>
        <w:spacing w:after="0"/>
        <w:rPr>
          <w:sz w:val="20"/>
          <w:szCs w:val="20"/>
          <w:u w:val="single"/>
          <w:lang w:val="en-GB"/>
        </w:rPr>
      </w:pPr>
      <w:r w:rsidRPr="009576D7">
        <w:rPr>
          <w:sz w:val="20"/>
          <w:szCs w:val="20"/>
          <w:u w:val="single"/>
          <w:lang w:val="en-GB"/>
        </w:rPr>
        <w:t>Research collaboration</w:t>
      </w:r>
    </w:p>
    <w:p w14:paraId="7489F641" w14:textId="32E994D5" w:rsidR="007243A4" w:rsidRDefault="007243A4" w:rsidP="00EE05AE">
      <w:pPr>
        <w:spacing w:after="0"/>
        <w:ind w:left="720"/>
        <w:rPr>
          <w:sz w:val="20"/>
          <w:szCs w:val="20"/>
          <w:lang w:val="en-GB"/>
        </w:rPr>
      </w:pPr>
      <w:r w:rsidRPr="009576D7">
        <w:rPr>
          <w:sz w:val="20"/>
          <w:szCs w:val="20"/>
          <w:lang w:val="en-GB"/>
        </w:rPr>
        <w:t>HEI/FECs undertake a wide range of research activity</w:t>
      </w:r>
      <w:r>
        <w:rPr>
          <w:sz w:val="20"/>
          <w:szCs w:val="20"/>
          <w:lang w:val="en-GB"/>
        </w:rPr>
        <w:t xml:space="preserve"> much of which can and does link very directly to employers. This includes research undertaken for or with employers and research where employers are needed as participants.</w:t>
      </w:r>
    </w:p>
    <w:p w14:paraId="6BB90782" w14:textId="45FF75E3" w:rsidR="007243A4" w:rsidRPr="009576D7" w:rsidRDefault="007243A4" w:rsidP="00EE05AE">
      <w:pPr>
        <w:spacing w:after="0"/>
        <w:ind w:left="720"/>
        <w:rPr>
          <w:sz w:val="20"/>
          <w:szCs w:val="20"/>
          <w:lang w:val="en-GB"/>
        </w:rPr>
      </w:pPr>
      <w:r>
        <w:rPr>
          <w:sz w:val="20"/>
          <w:szCs w:val="20"/>
          <w:u w:val="single"/>
          <w:lang w:val="en-GB"/>
        </w:rPr>
        <w:t>R</w:t>
      </w:r>
      <w:r w:rsidRPr="009576D7">
        <w:rPr>
          <w:sz w:val="20"/>
          <w:szCs w:val="20"/>
          <w:u w:val="single"/>
          <w:lang w:val="en-GB"/>
        </w:rPr>
        <w:t>elated HEI/FEC systems</w:t>
      </w:r>
      <w:r w:rsidR="00F94DEF">
        <w:rPr>
          <w:sz w:val="20"/>
          <w:szCs w:val="20"/>
          <w:lang w:val="en-GB"/>
        </w:rPr>
        <w:t xml:space="preserve"> – Employer collaborations may take the form of:</w:t>
      </w:r>
    </w:p>
    <w:p w14:paraId="3461F5A5" w14:textId="77777777" w:rsidR="007243A4" w:rsidRPr="001F2937" w:rsidRDefault="007243A4" w:rsidP="00EE05AE">
      <w:pPr>
        <w:pStyle w:val="ListParagraph"/>
        <w:numPr>
          <w:ilvl w:val="1"/>
          <w:numId w:val="5"/>
        </w:numPr>
        <w:spacing w:after="0"/>
        <w:ind w:left="1276"/>
        <w:rPr>
          <w:sz w:val="20"/>
          <w:szCs w:val="20"/>
          <w:lang w:val="en-GB"/>
        </w:rPr>
      </w:pPr>
      <w:r w:rsidRPr="001F2937">
        <w:rPr>
          <w:sz w:val="20"/>
          <w:szCs w:val="20"/>
          <w:lang w:val="en-GB"/>
        </w:rPr>
        <w:t>HEI/FECs undertake publicly funded research that requires the input of employers in a specific region, industrial sector, or a specific size [SME for example]</w:t>
      </w:r>
      <w:r w:rsidR="00121DEA">
        <w:rPr>
          <w:sz w:val="20"/>
          <w:szCs w:val="20"/>
          <w:lang w:val="en-GB"/>
        </w:rPr>
        <w:t>, t</w:t>
      </w:r>
      <w:r w:rsidRPr="001F2937">
        <w:rPr>
          <w:sz w:val="20"/>
          <w:szCs w:val="20"/>
          <w:lang w:val="en-GB"/>
        </w:rPr>
        <w:t>he results of which are published and disseminated to relevant employers.</w:t>
      </w:r>
    </w:p>
    <w:p w14:paraId="2D1998AE" w14:textId="664FBA48" w:rsidR="007243A4" w:rsidRPr="00DE7E89" w:rsidRDefault="007243A4" w:rsidP="00EE05AE">
      <w:pPr>
        <w:pStyle w:val="ListParagraph"/>
        <w:numPr>
          <w:ilvl w:val="1"/>
          <w:numId w:val="5"/>
        </w:numPr>
        <w:spacing w:after="0"/>
        <w:ind w:left="1276"/>
        <w:rPr>
          <w:sz w:val="20"/>
          <w:szCs w:val="20"/>
          <w:lang w:val="en-GB"/>
        </w:rPr>
      </w:pPr>
      <w:r w:rsidRPr="00AB2C91">
        <w:rPr>
          <w:sz w:val="20"/>
          <w:szCs w:val="20"/>
          <w:lang w:val="en-GB"/>
        </w:rPr>
        <w:t>Research undertaken for particular employers on a commercial contract basis</w:t>
      </w:r>
      <w:r w:rsidR="00EE05AE">
        <w:rPr>
          <w:sz w:val="20"/>
          <w:szCs w:val="20"/>
          <w:lang w:val="en-GB"/>
        </w:rPr>
        <w:t>. This</w:t>
      </w:r>
      <w:r w:rsidRPr="00AB2C91">
        <w:rPr>
          <w:sz w:val="20"/>
          <w:szCs w:val="20"/>
          <w:lang w:val="en-GB"/>
        </w:rPr>
        <w:t xml:space="preserve"> can range from large </w:t>
      </w:r>
      <w:r w:rsidRPr="00DE7E89">
        <w:rPr>
          <w:sz w:val="20"/>
          <w:szCs w:val="20"/>
          <w:lang w:val="en-GB"/>
        </w:rPr>
        <w:t>scale and long term, led by highly experienced academic staff; to short term</w:t>
      </w:r>
      <w:r w:rsidR="00AB2C91" w:rsidRPr="00DE7E89">
        <w:rPr>
          <w:sz w:val="20"/>
          <w:szCs w:val="20"/>
          <w:lang w:val="en-GB"/>
        </w:rPr>
        <w:t xml:space="preserve"> small</w:t>
      </w:r>
      <w:r w:rsidR="00B560F6">
        <w:rPr>
          <w:sz w:val="20"/>
          <w:szCs w:val="20"/>
          <w:lang w:val="en-GB"/>
        </w:rPr>
        <w:t>-</w:t>
      </w:r>
      <w:r w:rsidR="00AB2C91" w:rsidRPr="00DE7E89">
        <w:rPr>
          <w:sz w:val="20"/>
          <w:szCs w:val="20"/>
          <w:lang w:val="en-GB"/>
        </w:rPr>
        <w:t xml:space="preserve">scale projects undertaken </w:t>
      </w:r>
      <w:r w:rsidRPr="00DE7E89">
        <w:rPr>
          <w:sz w:val="20"/>
          <w:szCs w:val="20"/>
          <w:lang w:val="en-GB"/>
        </w:rPr>
        <w:t>by students.</w:t>
      </w:r>
    </w:p>
    <w:p w14:paraId="4A03079A" w14:textId="711EF8A2" w:rsidR="007243A4" w:rsidRDefault="007A278A" w:rsidP="00EE05AE">
      <w:pPr>
        <w:pStyle w:val="ListParagraph"/>
        <w:numPr>
          <w:ilvl w:val="1"/>
          <w:numId w:val="5"/>
        </w:numPr>
        <w:spacing w:after="0"/>
        <w:ind w:left="1276"/>
        <w:rPr>
          <w:sz w:val="20"/>
          <w:szCs w:val="20"/>
          <w:lang w:val="en-GB"/>
        </w:rPr>
      </w:pPr>
      <w:r>
        <w:rPr>
          <w:sz w:val="20"/>
          <w:szCs w:val="20"/>
          <w:lang w:val="en-GB"/>
        </w:rPr>
        <w:t>C</w:t>
      </w:r>
      <w:r w:rsidR="007243A4" w:rsidRPr="00DE7E89">
        <w:rPr>
          <w:sz w:val="20"/>
          <w:szCs w:val="20"/>
          <w:lang w:val="en-GB"/>
        </w:rPr>
        <w:t>ollaborative</w:t>
      </w:r>
      <w:r>
        <w:rPr>
          <w:sz w:val="20"/>
          <w:szCs w:val="20"/>
          <w:lang w:val="en-GB"/>
        </w:rPr>
        <w:t xml:space="preserve"> research </w:t>
      </w:r>
      <w:r w:rsidR="007243A4" w:rsidRPr="00DE7E89">
        <w:rPr>
          <w:sz w:val="20"/>
          <w:szCs w:val="20"/>
          <w:lang w:val="en-GB"/>
        </w:rPr>
        <w:t>where the HEI/FEC and employer combine their skills and experience to jointly deliver research neither could achieve alone. Examples include technology, process or product development and market exploitation. As well as intellectual capacity, HEI/FECs also</w:t>
      </w:r>
      <w:r w:rsidR="007243A4" w:rsidRPr="00AB2C91">
        <w:rPr>
          <w:sz w:val="20"/>
          <w:szCs w:val="20"/>
          <w:lang w:val="en-GB"/>
        </w:rPr>
        <w:t xml:space="preserve"> have niche business related research skills e.g. managing IPR.</w:t>
      </w:r>
    </w:p>
    <w:p w14:paraId="71478838" w14:textId="03BF9725" w:rsidR="00DE7E89" w:rsidRDefault="007A278A" w:rsidP="00EE05AE">
      <w:pPr>
        <w:pStyle w:val="ListParagraph"/>
        <w:numPr>
          <w:ilvl w:val="1"/>
          <w:numId w:val="5"/>
        </w:numPr>
        <w:ind w:left="1276"/>
        <w:rPr>
          <w:sz w:val="20"/>
          <w:szCs w:val="20"/>
        </w:rPr>
      </w:pPr>
      <w:r>
        <w:rPr>
          <w:bCs/>
          <w:sz w:val="20"/>
          <w:szCs w:val="20"/>
        </w:rPr>
        <w:t>I</w:t>
      </w:r>
      <w:r w:rsidR="00DE7E89" w:rsidRPr="00DE7E89">
        <w:rPr>
          <w:bCs/>
          <w:sz w:val="20"/>
          <w:szCs w:val="20"/>
        </w:rPr>
        <w:t>nvolvement of employers in research activity adds to the ‘impact’ of the work</w:t>
      </w:r>
      <w:r w:rsidR="00057104">
        <w:rPr>
          <w:bCs/>
          <w:sz w:val="20"/>
          <w:szCs w:val="20"/>
        </w:rPr>
        <w:t>. This</w:t>
      </w:r>
      <w:r w:rsidR="00DE7E89" w:rsidRPr="00DE7E89">
        <w:rPr>
          <w:bCs/>
          <w:sz w:val="20"/>
          <w:szCs w:val="20"/>
        </w:rPr>
        <w:t xml:space="preserve"> is an ever more important factor in measuring the quality of research – as in</w:t>
      </w:r>
      <w:r w:rsidR="00057104">
        <w:rPr>
          <w:bCs/>
          <w:sz w:val="20"/>
          <w:szCs w:val="20"/>
        </w:rPr>
        <w:t>, for example,</w:t>
      </w:r>
      <w:r w:rsidR="00DE7E89" w:rsidRPr="00DE7E89">
        <w:rPr>
          <w:bCs/>
          <w:sz w:val="20"/>
          <w:szCs w:val="20"/>
        </w:rPr>
        <w:t xml:space="preserve"> the </w:t>
      </w:r>
      <w:r w:rsidR="00DE7E89" w:rsidRPr="00DE7E89">
        <w:rPr>
          <w:rStyle w:val="Emphasis"/>
          <w:sz w:val="20"/>
          <w:szCs w:val="20"/>
        </w:rPr>
        <w:t>Research Excellence Framework</w:t>
      </w:r>
      <w:r w:rsidR="00DE7E89" w:rsidRPr="00DE7E89">
        <w:rPr>
          <w:rStyle w:val="st"/>
          <w:i/>
          <w:iCs/>
          <w:sz w:val="20"/>
          <w:szCs w:val="20"/>
        </w:rPr>
        <w:t xml:space="preserve"> </w:t>
      </w:r>
      <w:r w:rsidR="00057104">
        <w:rPr>
          <w:rStyle w:val="st"/>
          <w:sz w:val="20"/>
          <w:szCs w:val="20"/>
        </w:rPr>
        <w:t>[</w:t>
      </w:r>
      <w:r w:rsidR="00DE7E89" w:rsidRPr="00DE7E89">
        <w:rPr>
          <w:rStyle w:val="Emphasis"/>
          <w:sz w:val="20"/>
          <w:szCs w:val="20"/>
        </w:rPr>
        <w:t>REF</w:t>
      </w:r>
      <w:r w:rsidR="00057104">
        <w:rPr>
          <w:rStyle w:val="st"/>
          <w:sz w:val="20"/>
          <w:szCs w:val="20"/>
        </w:rPr>
        <w:t>]</w:t>
      </w:r>
      <w:r w:rsidR="00DE7E89" w:rsidRPr="00DE7E89">
        <w:rPr>
          <w:rStyle w:val="st"/>
          <w:i/>
          <w:iCs/>
          <w:sz w:val="20"/>
          <w:szCs w:val="20"/>
        </w:rPr>
        <w:t>.</w:t>
      </w:r>
      <w:r w:rsidR="00DE7E89" w:rsidRPr="00DE7E89">
        <w:rPr>
          <w:sz w:val="20"/>
          <w:szCs w:val="20"/>
        </w:rPr>
        <w:t xml:space="preserve"> Building in </w:t>
      </w:r>
      <w:r w:rsidR="00DE7E89" w:rsidRPr="00DE7E89">
        <w:rPr>
          <w:bCs/>
          <w:sz w:val="20"/>
          <w:szCs w:val="20"/>
        </w:rPr>
        <w:t xml:space="preserve">the involvement of employers </w:t>
      </w:r>
      <w:r w:rsidR="00DE7E89" w:rsidRPr="00DE7E89">
        <w:rPr>
          <w:sz w:val="20"/>
          <w:szCs w:val="20"/>
        </w:rPr>
        <w:t>from the beginning of research work helps to maximize this impact.</w:t>
      </w:r>
    </w:p>
    <w:p w14:paraId="6041AE0C" w14:textId="79EB7A45" w:rsidR="00B368C8" w:rsidRPr="009448CC" w:rsidRDefault="007A278A" w:rsidP="00EE05AE">
      <w:pPr>
        <w:pStyle w:val="ListParagraph"/>
        <w:numPr>
          <w:ilvl w:val="1"/>
          <w:numId w:val="5"/>
        </w:numPr>
        <w:ind w:left="1276"/>
        <w:rPr>
          <w:sz w:val="20"/>
          <w:szCs w:val="20"/>
        </w:rPr>
      </w:pPr>
      <w:r>
        <w:rPr>
          <w:sz w:val="20"/>
          <w:szCs w:val="20"/>
        </w:rPr>
        <w:t>S</w:t>
      </w:r>
      <w:r w:rsidR="009448CC" w:rsidRPr="009448CC">
        <w:rPr>
          <w:sz w:val="20"/>
          <w:szCs w:val="20"/>
        </w:rPr>
        <w:t>tudents</w:t>
      </w:r>
      <w:r>
        <w:rPr>
          <w:sz w:val="20"/>
          <w:szCs w:val="20"/>
        </w:rPr>
        <w:t xml:space="preserve"> benefit from </w:t>
      </w:r>
      <w:r w:rsidR="009448CC" w:rsidRPr="009448CC">
        <w:rPr>
          <w:sz w:val="20"/>
          <w:szCs w:val="20"/>
        </w:rPr>
        <w:t xml:space="preserve">the networking opportunities that are provided for them and the completion of successful employer research projects </w:t>
      </w:r>
      <w:r w:rsidR="00422556">
        <w:rPr>
          <w:sz w:val="20"/>
          <w:szCs w:val="20"/>
        </w:rPr>
        <w:t>adds to their</w:t>
      </w:r>
      <w:r w:rsidR="009448CC" w:rsidRPr="009448CC">
        <w:rPr>
          <w:sz w:val="20"/>
          <w:szCs w:val="20"/>
        </w:rPr>
        <w:t xml:space="preserve"> employability.</w:t>
      </w:r>
    </w:p>
    <w:p w14:paraId="52BEFD2B" w14:textId="77777777" w:rsidR="009448CC" w:rsidRPr="009448CC" w:rsidRDefault="009448CC" w:rsidP="00EE05AE">
      <w:pPr>
        <w:pStyle w:val="ListParagraph"/>
        <w:ind w:left="1080"/>
        <w:rPr>
          <w:sz w:val="20"/>
          <w:szCs w:val="20"/>
        </w:rPr>
      </w:pPr>
    </w:p>
    <w:p w14:paraId="0403294D" w14:textId="77777777" w:rsidR="00135F9C" w:rsidRPr="00B368C8" w:rsidRDefault="00DE7E89" w:rsidP="00EE05AE">
      <w:pPr>
        <w:pStyle w:val="ListParagraph"/>
        <w:numPr>
          <w:ilvl w:val="0"/>
          <w:numId w:val="25"/>
        </w:numPr>
        <w:spacing w:after="0"/>
        <w:rPr>
          <w:sz w:val="20"/>
          <w:szCs w:val="20"/>
          <w:u w:val="single"/>
        </w:rPr>
      </w:pPr>
      <w:r w:rsidRPr="00B368C8">
        <w:rPr>
          <w:sz w:val="20"/>
          <w:szCs w:val="20"/>
          <w:u w:val="single"/>
        </w:rPr>
        <w:t xml:space="preserve">Key challenges in </w:t>
      </w:r>
      <w:r w:rsidR="00B368C8" w:rsidRPr="00B368C8">
        <w:rPr>
          <w:sz w:val="20"/>
          <w:szCs w:val="20"/>
          <w:u w:val="single"/>
        </w:rPr>
        <w:t>maximising</w:t>
      </w:r>
      <w:r w:rsidRPr="00B368C8">
        <w:rPr>
          <w:sz w:val="20"/>
          <w:szCs w:val="20"/>
          <w:u w:val="single"/>
        </w:rPr>
        <w:t xml:space="preserve"> these benefits include</w:t>
      </w:r>
      <w:r w:rsidR="00135F9C" w:rsidRPr="00B368C8">
        <w:rPr>
          <w:sz w:val="20"/>
          <w:szCs w:val="20"/>
          <w:u w:val="single"/>
        </w:rPr>
        <w:t>:</w:t>
      </w:r>
    </w:p>
    <w:p w14:paraId="085417D0" w14:textId="77777777" w:rsidR="00135F9C" w:rsidRPr="00B368C8" w:rsidRDefault="00B368C8" w:rsidP="00EE05AE">
      <w:pPr>
        <w:pStyle w:val="ListParagraph"/>
        <w:numPr>
          <w:ilvl w:val="0"/>
          <w:numId w:val="28"/>
        </w:numPr>
        <w:spacing w:after="0"/>
        <w:ind w:left="1276"/>
        <w:rPr>
          <w:sz w:val="20"/>
          <w:szCs w:val="20"/>
          <w:lang w:val="en-GB"/>
        </w:rPr>
      </w:pPr>
      <w:r w:rsidRPr="00B368C8">
        <w:rPr>
          <w:sz w:val="20"/>
          <w:szCs w:val="20"/>
          <w:lang w:val="en-GB"/>
        </w:rPr>
        <w:t>Ensuring institutional p</w:t>
      </w:r>
      <w:r w:rsidR="00135F9C" w:rsidRPr="00B368C8">
        <w:rPr>
          <w:sz w:val="20"/>
          <w:szCs w:val="20"/>
          <w:lang w:val="en-GB"/>
        </w:rPr>
        <w:t>oints of contact and entry</w:t>
      </w:r>
      <w:r w:rsidRPr="00B368C8">
        <w:rPr>
          <w:sz w:val="20"/>
          <w:szCs w:val="20"/>
          <w:lang w:val="en-GB"/>
        </w:rPr>
        <w:t xml:space="preserve"> - </w:t>
      </w:r>
      <w:r w:rsidRPr="00B368C8">
        <w:rPr>
          <w:i/>
          <w:iCs/>
          <w:sz w:val="20"/>
          <w:szCs w:val="20"/>
          <w:lang w:val="en-GB"/>
        </w:rPr>
        <w:t>one or many</w:t>
      </w:r>
      <w:r w:rsidR="008C43AE">
        <w:rPr>
          <w:i/>
          <w:iCs/>
          <w:sz w:val="20"/>
          <w:szCs w:val="20"/>
          <w:lang w:val="en-GB"/>
        </w:rPr>
        <w:t>.</w:t>
      </w:r>
    </w:p>
    <w:p w14:paraId="1D2239D1" w14:textId="77777777" w:rsidR="00135F9C" w:rsidRPr="00B368C8" w:rsidRDefault="00135F9C" w:rsidP="00EE05AE">
      <w:pPr>
        <w:pStyle w:val="ListParagraph"/>
        <w:numPr>
          <w:ilvl w:val="0"/>
          <w:numId w:val="28"/>
        </w:numPr>
        <w:spacing w:after="0"/>
        <w:ind w:left="1276"/>
        <w:rPr>
          <w:sz w:val="20"/>
          <w:szCs w:val="20"/>
          <w:lang w:val="en-GB"/>
        </w:rPr>
      </w:pPr>
      <w:r w:rsidRPr="00B368C8">
        <w:rPr>
          <w:sz w:val="20"/>
          <w:szCs w:val="20"/>
          <w:lang w:val="en-GB"/>
        </w:rPr>
        <w:t>Understanding who are the organisational decision makers</w:t>
      </w:r>
      <w:r w:rsidR="00B368C8" w:rsidRPr="00B368C8">
        <w:rPr>
          <w:sz w:val="20"/>
          <w:szCs w:val="20"/>
          <w:lang w:val="en-GB"/>
        </w:rPr>
        <w:t xml:space="preserve"> </w:t>
      </w:r>
      <w:r w:rsidR="00B368C8">
        <w:rPr>
          <w:sz w:val="20"/>
          <w:szCs w:val="20"/>
          <w:lang w:val="en-GB"/>
        </w:rPr>
        <w:t>-</w:t>
      </w:r>
      <w:r w:rsidR="00B368C8" w:rsidRPr="00B368C8">
        <w:rPr>
          <w:sz w:val="20"/>
          <w:szCs w:val="20"/>
          <w:lang w:val="en-GB"/>
        </w:rPr>
        <w:t xml:space="preserve"> </w:t>
      </w:r>
      <w:r w:rsidR="00185C01" w:rsidRPr="00A96BB8">
        <w:rPr>
          <w:i/>
          <w:sz w:val="20"/>
          <w:szCs w:val="20"/>
          <w:lang w:val="en-GB"/>
        </w:rPr>
        <w:t>f</w:t>
      </w:r>
      <w:r w:rsidR="00B368C8" w:rsidRPr="00B368C8">
        <w:rPr>
          <w:i/>
          <w:iCs/>
          <w:sz w:val="20"/>
          <w:szCs w:val="20"/>
          <w:lang w:val="en-GB"/>
        </w:rPr>
        <w:t>or both employers and HEI/FEC</w:t>
      </w:r>
      <w:r w:rsidR="008C43AE">
        <w:rPr>
          <w:i/>
          <w:iCs/>
          <w:sz w:val="20"/>
          <w:szCs w:val="20"/>
          <w:lang w:val="en-GB"/>
        </w:rPr>
        <w:t>.</w:t>
      </w:r>
    </w:p>
    <w:p w14:paraId="4510C3B1" w14:textId="03F77C3B" w:rsidR="00135F9C" w:rsidRPr="00B368C8" w:rsidRDefault="00135F9C" w:rsidP="00EE05AE">
      <w:pPr>
        <w:pStyle w:val="ListParagraph"/>
        <w:numPr>
          <w:ilvl w:val="0"/>
          <w:numId w:val="28"/>
        </w:numPr>
        <w:spacing w:after="0"/>
        <w:ind w:left="1276"/>
        <w:rPr>
          <w:sz w:val="20"/>
          <w:szCs w:val="20"/>
          <w:lang w:val="en-GB"/>
        </w:rPr>
      </w:pPr>
      <w:r w:rsidRPr="00B368C8">
        <w:rPr>
          <w:sz w:val="20"/>
          <w:szCs w:val="20"/>
          <w:lang w:val="en-GB"/>
        </w:rPr>
        <w:t xml:space="preserve">Recording </w:t>
      </w:r>
      <w:r w:rsidR="00201FA5">
        <w:rPr>
          <w:sz w:val="20"/>
          <w:szCs w:val="20"/>
          <w:lang w:val="en-GB"/>
        </w:rPr>
        <w:t>e</w:t>
      </w:r>
      <w:r w:rsidR="00B368C8" w:rsidRPr="00B368C8">
        <w:rPr>
          <w:sz w:val="20"/>
          <w:szCs w:val="20"/>
          <w:lang w:val="en-GB"/>
        </w:rPr>
        <w:t xml:space="preserve">mployer </w:t>
      </w:r>
      <w:r w:rsidR="00201FA5">
        <w:rPr>
          <w:sz w:val="20"/>
          <w:szCs w:val="20"/>
          <w:lang w:val="en-GB"/>
        </w:rPr>
        <w:t>e</w:t>
      </w:r>
      <w:r w:rsidR="00B368C8" w:rsidRPr="00B368C8">
        <w:rPr>
          <w:sz w:val="20"/>
          <w:szCs w:val="20"/>
          <w:lang w:val="en-GB"/>
        </w:rPr>
        <w:t xml:space="preserve">ngagements - </w:t>
      </w:r>
      <w:r w:rsidR="00B368C8" w:rsidRPr="00B368C8">
        <w:rPr>
          <w:i/>
          <w:iCs/>
          <w:sz w:val="20"/>
          <w:szCs w:val="20"/>
          <w:lang w:val="en-GB"/>
        </w:rPr>
        <w:t>for all stakeholders</w:t>
      </w:r>
      <w:r w:rsidR="00B368C8">
        <w:rPr>
          <w:i/>
          <w:iCs/>
          <w:sz w:val="20"/>
          <w:szCs w:val="20"/>
          <w:lang w:val="en-GB"/>
        </w:rPr>
        <w:t>, this may involve recording data within a Customer Relationship Management [CRM] system</w:t>
      </w:r>
      <w:r w:rsidR="008C43AE">
        <w:rPr>
          <w:i/>
          <w:iCs/>
          <w:sz w:val="20"/>
          <w:szCs w:val="20"/>
          <w:lang w:val="en-GB"/>
        </w:rPr>
        <w:t>.</w:t>
      </w:r>
    </w:p>
    <w:p w14:paraId="2F30430E" w14:textId="77777777" w:rsidR="00135F9C" w:rsidRPr="008C43AE" w:rsidRDefault="00135F9C" w:rsidP="00EE05AE">
      <w:pPr>
        <w:pStyle w:val="ListParagraph"/>
        <w:numPr>
          <w:ilvl w:val="0"/>
          <w:numId w:val="28"/>
        </w:numPr>
        <w:spacing w:after="0"/>
        <w:ind w:left="1276"/>
        <w:rPr>
          <w:i/>
          <w:iCs/>
          <w:sz w:val="20"/>
          <w:szCs w:val="20"/>
          <w:lang w:val="en-GB"/>
        </w:rPr>
      </w:pPr>
      <w:r w:rsidRPr="00B368C8">
        <w:rPr>
          <w:sz w:val="20"/>
          <w:szCs w:val="20"/>
          <w:lang w:val="en-GB"/>
        </w:rPr>
        <w:t xml:space="preserve">Follow up </w:t>
      </w:r>
      <w:r w:rsidRPr="008C43AE">
        <w:rPr>
          <w:sz w:val="20"/>
          <w:szCs w:val="20"/>
          <w:lang w:val="en-GB"/>
        </w:rPr>
        <w:t>protocols</w:t>
      </w:r>
      <w:r w:rsidR="00B368C8" w:rsidRPr="008C43AE">
        <w:rPr>
          <w:sz w:val="20"/>
          <w:szCs w:val="20"/>
          <w:lang w:val="en-GB"/>
        </w:rPr>
        <w:t xml:space="preserve"> - </w:t>
      </w:r>
      <w:r w:rsidR="00B368C8" w:rsidRPr="008C43AE">
        <w:rPr>
          <w:i/>
          <w:iCs/>
          <w:sz w:val="20"/>
          <w:szCs w:val="20"/>
          <w:lang w:val="en-GB"/>
        </w:rPr>
        <w:t>what will happen after a visit or once an agreement is made, is this clear to all? It is common for the initial link to take this responsibility until the baton is clearly passed on</w:t>
      </w:r>
      <w:r w:rsidR="008C43AE">
        <w:rPr>
          <w:i/>
          <w:iCs/>
          <w:sz w:val="20"/>
          <w:szCs w:val="20"/>
          <w:lang w:val="en-GB"/>
        </w:rPr>
        <w:t>.</w:t>
      </w:r>
    </w:p>
    <w:p w14:paraId="69893D2F" w14:textId="77777777" w:rsidR="00135F9C" w:rsidRPr="008C43AE" w:rsidRDefault="00135F9C" w:rsidP="00EE05AE">
      <w:pPr>
        <w:pStyle w:val="ListParagraph"/>
        <w:numPr>
          <w:ilvl w:val="0"/>
          <w:numId w:val="28"/>
        </w:numPr>
        <w:spacing w:after="0"/>
        <w:ind w:left="1276"/>
        <w:rPr>
          <w:sz w:val="20"/>
          <w:szCs w:val="20"/>
          <w:lang w:val="en-GB"/>
        </w:rPr>
      </w:pPr>
      <w:r w:rsidRPr="008C43AE">
        <w:rPr>
          <w:sz w:val="20"/>
          <w:szCs w:val="20"/>
          <w:lang w:val="en-GB"/>
        </w:rPr>
        <w:t>Relationship management</w:t>
      </w:r>
      <w:r w:rsidR="00B368C8" w:rsidRPr="008C43AE">
        <w:rPr>
          <w:sz w:val="20"/>
          <w:szCs w:val="20"/>
          <w:lang w:val="en-GB"/>
        </w:rPr>
        <w:t xml:space="preserve"> - </w:t>
      </w:r>
      <w:r w:rsidR="00B368C8" w:rsidRPr="008C43AE">
        <w:rPr>
          <w:i/>
          <w:iCs/>
          <w:sz w:val="20"/>
          <w:szCs w:val="20"/>
          <w:lang w:val="en-GB"/>
        </w:rPr>
        <w:t>including expectation management</w:t>
      </w:r>
      <w:r w:rsidR="008C43AE">
        <w:rPr>
          <w:i/>
          <w:iCs/>
          <w:sz w:val="20"/>
          <w:szCs w:val="20"/>
          <w:lang w:val="en-GB"/>
        </w:rPr>
        <w:t>.</w:t>
      </w:r>
    </w:p>
    <w:p w14:paraId="50FD30C1" w14:textId="66F5FD6A" w:rsidR="00135F9C" w:rsidRPr="008C43AE" w:rsidRDefault="004633E9" w:rsidP="00EE05AE">
      <w:pPr>
        <w:spacing w:after="0"/>
        <w:ind w:left="720"/>
        <w:rPr>
          <w:sz w:val="20"/>
          <w:szCs w:val="20"/>
          <w:lang w:val="en-GB"/>
        </w:rPr>
      </w:pPr>
      <w:r>
        <w:rPr>
          <w:sz w:val="20"/>
          <w:szCs w:val="20"/>
          <w:lang w:val="en-GB"/>
        </w:rPr>
        <w:t>M</w:t>
      </w:r>
      <w:r w:rsidR="00B368C8" w:rsidRPr="008C43AE">
        <w:rPr>
          <w:sz w:val="20"/>
          <w:szCs w:val="20"/>
          <w:lang w:val="en-GB"/>
        </w:rPr>
        <w:t>anagers have to understand both t</w:t>
      </w:r>
      <w:r w:rsidR="00135F9C" w:rsidRPr="008C43AE">
        <w:rPr>
          <w:sz w:val="20"/>
          <w:szCs w:val="20"/>
          <w:lang w:val="en-GB"/>
        </w:rPr>
        <w:t xml:space="preserve">he nature of </w:t>
      </w:r>
      <w:r w:rsidR="00201FA5">
        <w:rPr>
          <w:sz w:val="20"/>
          <w:szCs w:val="20"/>
          <w:lang w:val="en-GB"/>
        </w:rPr>
        <w:t>e</w:t>
      </w:r>
      <w:r w:rsidR="008C43AE" w:rsidRPr="008C43AE">
        <w:rPr>
          <w:sz w:val="20"/>
          <w:szCs w:val="20"/>
          <w:lang w:val="en-GB"/>
        </w:rPr>
        <w:t>mployer</w:t>
      </w:r>
      <w:r w:rsidR="00B368C8" w:rsidRPr="008C43AE">
        <w:rPr>
          <w:sz w:val="20"/>
          <w:szCs w:val="20"/>
          <w:lang w:val="en-GB"/>
        </w:rPr>
        <w:t xml:space="preserve"> </w:t>
      </w:r>
      <w:r w:rsidR="00201FA5">
        <w:rPr>
          <w:sz w:val="20"/>
          <w:szCs w:val="20"/>
          <w:lang w:val="en-GB"/>
        </w:rPr>
        <w:t>e</w:t>
      </w:r>
      <w:r w:rsidR="00B368C8" w:rsidRPr="008C43AE">
        <w:rPr>
          <w:sz w:val="20"/>
          <w:szCs w:val="20"/>
          <w:lang w:val="en-GB"/>
        </w:rPr>
        <w:t xml:space="preserve">ngagement work and </w:t>
      </w:r>
      <w:r w:rsidR="00135F9C" w:rsidRPr="008C43AE">
        <w:rPr>
          <w:sz w:val="20"/>
          <w:szCs w:val="20"/>
          <w:lang w:val="en-GB"/>
        </w:rPr>
        <w:t>practitioner motivations e.g. academics</w:t>
      </w:r>
      <w:r w:rsidR="00B368C8" w:rsidRPr="008C43AE">
        <w:rPr>
          <w:sz w:val="20"/>
          <w:szCs w:val="20"/>
          <w:lang w:val="en-GB"/>
        </w:rPr>
        <w:t>, professional support staff, and business</w:t>
      </w:r>
      <w:r w:rsidR="00135F9C" w:rsidRPr="008C43AE">
        <w:rPr>
          <w:sz w:val="20"/>
          <w:szCs w:val="20"/>
          <w:lang w:val="en-GB"/>
        </w:rPr>
        <w:t xml:space="preserve"> intermediaries et al including </w:t>
      </w:r>
      <w:r w:rsidR="008C43AE" w:rsidRPr="008C43AE">
        <w:rPr>
          <w:sz w:val="20"/>
          <w:szCs w:val="20"/>
          <w:lang w:val="en-GB"/>
        </w:rPr>
        <w:t xml:space="preserve">their </w:t>
      </w:r>
      <w:r w:rsidR="00135F9C" w:rsidRPr="008C43AE">
        <w:rPr>
          <w:sz w:val="20"/>
          <w:szCs w:val="20"/>
          <w:lang w:val="en-GB"/>
        </w:rPr>
        <w:t>needs, drivers</w:t>
      </w:r>
      <w:r w:rsidR="008C43AE" w:rsidRPr="008C43AE">
        <w:rPr>
          <w:sz w:val="20"/>
          <w:szCs w:val="20"/>
          <w:lang w:val="en-GB"/>
        </w:rPr>
        <w:t xml:space="preserve"> and</w:t>
      </w:r>
      <w:r w:rsidR="00135F9C" w:rsidRPr="008C43AE">
        <w:rPr>
          <w:sz w:val="20"/>
          <w:szCs w:val="20"/>
          <w:lang w:val="en-GB"/>
        </w:rPr>
        <w:t xml:space="preserve"> frustrations</w:t>
      </w:r>
      <w:r w:rsidR="008C43AE" w:rsidRPr="008C43AE">
        <w:rPr>
          <w:sz w:val="20"/>
          <w:szCs w:val="20"/>
          <w:lang w:val="en-GB"/>
        </w:rPr>
        <w:t>.</w:t>
      </w:r>
    </w:p>
    <w:p w14:paraId="1C443F8C" w14:textId="77777777" w:rsidR="008C0492" w:rsidRPr="008C0492" w:rsidRDefault="008C0492" w:rsidP="008C0492">
      <w:pPr>
        <w:spacing w:after="0"/>
        <w:rPr>
          <w:lang w:val="en-GB"/>
        </w:rPr>
      </w:pPr>
    </w:p>
    <w:sectPr w:rsidR="008C0492" w:rsidRPr="008C0492" w:rsidSect="00974805">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D2F67" w14:textId="77777777" w:rsidR="00E76990" w:rsidRDefault="00E76990" w:rsidP="003C7E31">
      <w:pPr>
        <w:spacing w:after="0" w:line="240" w:lineRule="auto"/>
      </w:pPr>
      <w:r>
        <w:separator/>
      </w:r>
    </w:p>
  </w:endnote>
  <w:endnote w:type="continuationSeparator" w:id="0">
    <w:p w14:paraId="47A8A027" w14:textId="77777777" w:rsidR="00E76990" w:rsidRDefault="00E76990"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FD17" w14:textId="77777777" w:rsidR="00801ADE" w:rsidRDefault="00801ADE" w:rsidP="00A006A0">
    <w:pPr>
      <w:spacing w:after="0"/>
      <w:rPr>
        <w:rFonts w:ascii="Arial Narrow" w:hAnsi="Arial Narrow"/>
        <w:sz w:val="18"/>
        <w:szCs w:val="18"/>
      </w:rPr>
    </w:pPr>
  </w:p>
  <w:p w14:paraId="18F10216" w14:textId="77777777" w:rsidR="00E7605D" w:rsidRDefault="00E7605D" w:rsidP="00A006A0">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56704" behindDoc="1" locked="0" layoutInCell="1" allowOverlap="1" wp14:anchorId="382606D8" wp14:editId="25E16171">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anchor>
      </w:drawing>
    </w:r>
    <w:r w:rsidRPr="00A006A0">
      <w:rPr>
        <w:rFonts w:ascii="Arial Narrow" w:hAnsi="Arial Narrow"/>
        <w:sz w:val="18"/>
        <w:szCs w:val="18"/>
      </w:rPr>
      <w:t xml:space="preserve">This guide has been developed as part of the South West HE STEM Project 2011 - 12 </w:t>
    </w:r>
    <w:r>
      <w:rPr>
        <w:rFonts w:ascii="Arial Narrow" w:hAnsi="Arial Narrow"/>
        <w:sz w:val="18"/>
        <w:szCs w:val="18"/>
      </w:rPr>
      <w:tab/>
    </w:r>
    <w:r>
      <w:rPr>
        <w:rFonts w:ascii="Arial Narrow" w:hAnsi="Arial Narrow"/>
        <w:sz w:val="18"/>
        <w:szCs w:val="18"/>
      </w:rPr>
      <w:tab/>
    </w:r>
    <w:r w:rsidRPr="00DE7E89">
      <w:rPr>
        <w:rFonts w:ascii="Arial Narrow" w:hAnsi="Arial Narrow"/>
        <w:sz w:val="18"/>
        <w:szCs w:val="18"/>
      </w:rPr>
      <w:t xml:space="preserve">Page | </w:t>
    </w:r>
    <w:r w:rsidRPr="00DE7E89">
      <w:rPr>
        <w:rFonts w:ascii="Arial Narrow" w:hAnsi="Arial Narrow"/>
        <w:sz w:val="18"/>
        <w:szCs w:val="18"/>
      </w:rPr>
      <w:fldChar w:fldCharType="begin"/>
    </w:r>
    <w:r w:rsidRPr="00DE7E89">
      <w:rPr>
        <w:rFonts w:ascii="Arial Narrow" w:hAnsi="Arial Narrow"/>
        <w:sz w:val="18"/>
        <w:szCs w:val="18"/>
      </w:rPr>
      <w:instrText xml:space="preserve"> PAGE   \* MERGEFORMAT </w:instrText>
    </w:r>
    <w:r w:rsidRPr="00DE7E89">
      <w:rPr>
        <w:rFonts w:ascii="Arial Narrow" w:hAnsi="Arial Narrow"/>
        <w:sz w:val="18"/>
        <w:szCs w:val="18"/>
      </w:rPr>
      <w:fldChar w:fldCharType="separate"/>
    </w:r>
    <w:r w:rsidR="00146E21">
      <w:rPr>
        <w:rFonts w:ascii="Arial Narrow" w:hAnsi="Arial Narrow"/>
        <w:noProof/>
        <w:sz w:val="18"/>
        <w:szCs w:val="18"/>
      </w:rPr>
      <w:t>1</w:t>
    </w:r>
    <w:r w:rsidRPr="00DE7E89">
      <w:rPr>
        <w:rFonts w:ascii="Arial Narrow" w:hAnsi="Arial Narrow"/>
        <w:noProof/>
        <w:sz w:val="18"/>
        <w:szCs w:val="18"/>
      </w:rPr>
      <w:fldChar w:fldCharType="end"/>
    </w:r>
  </w:p>
  <w:p w14:paraId="70E9CA2D" w14:textId="77777777" w:rsidR="00E7605D" w:rsidRDefault="00E7605D" w:rsidP="00DE7E89">
    <w:pPr>
      <w:spacing w:after="0"/>
      <w:rPr>
        <w:rFonts w:ascii="Arial Narrow" w:hAnsi="Arial Narrow"/>
        <w:sz w:val="18"/>
        <w:szCs w:val="18"/>
      </w:rPr>
    </w:pPr>
    <w:r w:rsidRPr="00A006A0">
      <w:rPr>
        <w:rFonts w:ascii="Arial Narrow" w:hAnsi="Arial Narrow"/>
        <w:sz w:val="18"/>
        <w:szCs w:val="18"/>
      </w:rPr>
      <w:t>by Mark Stone, Plymouth University; and released under a</w:t>
    </w:r>
    <w:r>
      <w:rPr>
        <w:rFonts w:ascii="Arial Narrow" w:hAnsi="Arial Narrow"/>
        <w:sz w:val="18"/>
        <w:szCs w:val="18"/>
      </w:rPr>
      <w:t xml:space="preserve"> </w:t>
    </w:r>
    <w:r w:rsidRPr="00A006A0">
      <w:rPr>
        <w:rFonts w:ascii="Arial Narrow" w:hAnsi="Arial Narrow"/>
        <w:sz w:val="18"/>
        <w:szCs w:val="18"/>
      </w:rPr>
      <w:t xml:space="preserve">Creative Commons </w:t>
    </w:r>
  </w:p>
  <w:p w14:paraId="53FE056D" w14:textId="77777777" w:rsidR="00E7605D" w:rsidRPr="00A006A0" w:rsidRDefault="00E7605D" w:rsidP="00A006A0">
    <w:pPr>
      <w:spacing w:after="0"/>
      <w:ind w:left="720" w:firstLine="720"/>
      <w:rPr>
        <w:rFonts w:ascii="Arial Narrow" w:hAnsi="Arial Narrow"/>
        <w:sz w:val="18"/>
        <w:szCs w:val="18"/>
      </w:rPr>
    </w:pPr>
    <w:r w:rsidRPr="00A006A0">
      <w:rPr>
        <w:rFonts w:ascii="Helvetica" w:hAnsi="Helvetica"/>
        <w:noProof/>
        <w:color w:val="4374B7"/>
        <w:sz w:val="18"/>
        <w:szCs w:val="18"/>
        <w:lang w:val="en-GB" w:eastAsia="en-GB"/>
      </w:rPr>
      <w:drawing>
        <wp:anchor distT="0" distB="0" distL="114300" distR="114300" simplePos="0" relativeHeight="251657728" behindDoc="0" locked="0" layoutInCell="1" allowOverlap="1" wp14:anchorId="5263EA3E" wp14:editId="5E1E1D38">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A006A0">
      <w:rPr>
        <w:rFonts w:ascii="Arial Narrow" w:hAnsi="Arial Narrow"/>
        <w:sz w:val="18"/>
        <w:szCs w:val="18"/>
      </w:rPr>
      <w:t xml:space="preserve">- </w:t>
    </w:r>
    <w:r w:rsidRPr="00A006A0">
      <w:rPr>
        <w:rFonts w:ascii="Arial Narrow" w:hAnsi="Arial Narrow" w:cs="Arial"/>
        <w:sz w:val="18"/>
        <w:szCs w:val="18"/>
      </w:rPr>
      <w:t>Attribution - Non-Commercial - Share Alike (BY-NC-SA)</w:t>
    </w:r>
    <w:r w:rsidRPr="00A006A0">
      <w:rPr>
        <w:rFonts w:ascii="Arial Narrow" w:hAnsi="Arial Narrow"/>
        <w:sz w:val="18"/>
        <w:szCs w:val="18"/>
      </w:rPr>
      <w:t xml:space="preserve"> 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EE5EC" w14:textId="77777777" w:rsidR="00E76990" w:rsidRDefault="00E76990" w:rsidP="003C7E31">
      <w:pPr>
        <w:spacing w:after="0" w:line="240" w:lineRule="auto"/>
      </w:pPr>
      <w:r>
        <w:separator/>
      </w:r>
    </w:p>
  </w:footnote>
  <w:footnote w:type="continuationSeparator" w:id="0">
    <w:p w14:paraId="0CCE0B06" w14:textId="77777777" w:rsidR="00E76990" w:rsidRDefault="00E76990" w:rsidP="003C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25A84" w14:textId="77777777" w:rsidR="00E7605D" w:rsidRPr="0072600E" w:rsidRDefault="00E7605D" w:rsidP="0072600E">
    <w:pPr>
      <w:pStyle w:val="Header"/>
      <w:jc w:val="center"/>
      <w:rPr>
        <w:rFonts w:ascii="Arial Narrow" w:hAnsi="Arial Narrow" w:cs="Arial"/>
        <w:bCs/>
        <w:color w:val="FFFFFF" w:themeColor="background1"/>
        <w:sz w:val="32"/>
        <w:szCs w:val="32"/>
      </w:rPr>
    </w:pPr>
    <w:r w:rsidRPr="0072600E">
      <w:rPr>
        <w:rFonts w:ascii="Arial Narrow" w:hAnsi="Arial Narrow" w:cs="Arial"/>
        <w:bCs/>
        <w:color w:val="FFFFFF" w:themeColor="background1"/>
        <w:sz w:val="32"/>
        <w:szCs w:val="32"/>
        <w:highlight w:val="black"/>
      </w:rPr>
      <w:t xml:space="preserve"> * Employer </w:t>
    </w:r>
    <w:r>
      <w:rPr>
        <w:rFonts w:ascii="Arial Narrow" w:hAnsi="Arial Narrow" w:cs="Arial"/>
        <w:bCs/>
        <w:color w:val="FFFFFF" w:themeColor="background1"/>
        <w:sz w:val="32"/>
        <w:szCs w:val="32"/>
        <w:highlight w:val="black"/>
      </w:rPr>
      <w:t>E</w:t>
    </w:r>
    <w:r w:rsidRPr="0072600E">
      <w:rPr>
        <w:rFonts w:ascii="Arial Narrow" w:hAnsi="Arial Narrow" w:cs="Arial"/>
        <w:bCs/>
        <w:color w:val="FFFFFF" w:themeColor="background1"/>
        <w:sz w:val="32"/>
        <w:szCs w:val="32"/>
        <w:highlight w:val="black"/>
      </w:rPr>
      <w:t xml:space="preserve">ngagement </w:t>
    </w:r>
    <w:r>
      <w:rPr>
        <w:rFonts w:ascii="Arial Narrow" w:hAnsi="Arial Narrow" w:cs="Arial"/>
        <w:bCs/>
        <w:color w:val="FFFFFF" w:themeColor="background1"/>
        <w:sz w:val="32"/>
        <w:szCs w:val="32"/>
        <w:highlight w:val="black"/>
      </w:rPr>
      <w:t>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14:paraId="6EB731B2" w14:textId="77777777" w:rsidR="00E7605D" w:rsidRPr="00EE05AE" w:rsidRDefault="00E7605D" w:rsidP="007A4E63">
    <w:pPr>
      <w:pStyle w:val="Header"/>
      <w:jc w:val="center"/>
      <w:rPr>
        <w:rFonts w:ascii="Arial Narrow" w:hAnsi="Arial Narrow"/>
        <w:bCs/>
        <w:color w:val="FFFFFF" w:themeColor="background1"/>
        <w:sz w:val="20"/>
        <w:szCs w:val="12"/>
      </w:rPr>
    </w:pPr>
  </w:p>
  <w:p w14:paraId="1913B1E0" w14:textId="77777777" w:rsidR="00B8703F" w:rsidRPr="00631E2E" w:rsidRDefault="00B8703F" w:rsidP="00631E2E">
    <w:pPr>
      <w:pStyle w:val="Header"/>
      <w:jc w:val="center"/>
      <w:rPr>
        <w:rFonts w:ascii="Arial Narrow" w:hAnsi="Arial Narrow"/>
        <w:bCs/>
        <w:color w:val="FFFFFF" w:themeColor="background1"/>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31A"/>
    <w:multiLevelType w:val="hybridMultilevel"/>
    <w:tmpl w:val="F436876C"/>
    <w:lvl w:ilvl="0" w:tplc="EA2C2458">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D23C8"/>
    <w:multiLevelType w:val="hybridMultilevel"/>
    <w:tmpl w:val="F2567FFA"/>
    <w:lvl w:ilvl="0" w:tplc="E7286F5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E6569"/>
    <w:multiLevelType w:val="hybridMultilevel"/>
    <w:tmpl w:val="7B980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0070A73"/>
    <w:multiLevelType w:val="hybridMultilevel"/>
    <w:tmpl w:val="3356E8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EC2E0D"/>
    <w:multiLevelType w:val="hybridMultilevel"/>
    <w:tmpl w:val="AB9C1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0D7FE5"/>
    <w:multiLevelType w:val="hybridMultilevel"/>
    <w:tmpl w:val="9B6ABF5A"/>
    <w:lvl w:ilvl="0" w:tplc="D7BA9C62">
      <w:start w:val="1"/>
      <w:numFmt w:val="bullet"/>
      <w:lvlText w:val=""/>
      <w:lvlJc w:val="left"/>
      <w:pPr>
        <w:tabs>
          <w:tab w:val="num" w:pos="1083"/>
        </w:tabs>
        <w:ind w:left="1083" w:hanging="363"/>
      </w:pPr>
      <w:rPr>
        <w:rFonts w:ascii="Symbol" w:hAnsi="Symbol" w:hint="default"/>
      </w:rPr>
    </w:lvl>
    <w:lvl w:ilvl="1" w:tplc="08090003">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6">
    <w:nsid w:val="178C17BA"/>
    <w:multiLevelType w:val="multilevel"/>
    <w:tmpl w:val="10B69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2C6A7E"/>
    <w:multiLevelType w:val="multilevel"/>
    <w:tmpl w:val="9B6ABF5A"/>
    <w:lvl w:ilvl="0">
      <w:start w:val="1"/>
      <w:numFmt w:val="bullet"/>
      <w:lvlText w:val=""/>
      <w:lvlJc w:val="left"/>
      <w:pPr>
        <w:tabs>
          <w:tab w:val="num" w:pos="1083"/>
        </w:tabs>
        <w:ind w:left="1083" w:hanging="363"/>
      </w:pPr>
      <w:rPr>
        <w:rFonts w:ascii="Symbol" w:hAnsi="Symbol" w:hint="default"/>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hint="default"/>
      </w:rPr>
    </w:lvl>
    <w:lvl w:ilvl="3">
      <w:start w:val="1"/>
      <w:numFmt w:val="bullet"/>
      <w:lvlText w:val=""/>
      <w:lvlJc w:val="left"/>
      <w:pPr>
        <w:ind w:left="2883" w:hanging="360"/>
      </w:pPr>
      <w:rPr>
        <w:rFonts w:ascii="Symbol" w:hAnsi="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hint="default"/>
      </w:rPr>
    </w:lvl>
    <w:lvl w:ilvl="6">
      <w:start w:val="1"/>
      <w:numFmt w:val="bullet"/>
      <w:lvlText w:val=""/>
      <w:lvlJc w:val="left"/>
      <w:pPr>
        <w:ind w:left="5043" w:hanging="360"/>
      </w:pPr>
      <w:rPr>
        <w:rFonts w:ascii="Symbol" w:hAnsi="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hint="default"/>
      </w:rPr>
    </w:lvl>
  </w:abstractNum>
  <w:abstractNum w:abstractNumId="8">
    <w:nsid w:val="30061857"/>
    <w:multiLevelType w:val="hybridMultilevel"/>
    <w:tmpl w:val="EE6AE52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196C5A"/>
    <w:multiLevelType w:val="multilevel"/>
    <w:tmpl w:val="DA604B5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18347E"/>
    <w:multiLevelType w:val="hybridMultilevel"/>
    <w:tmpl w:val="0BD43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350C7B"/>
    <w:multiLevelType w:val="hybridMultilevel"/>
    <w:tmpl w:val="DA604B56"/>
    <w:lvl w:ilvl="0" w:tplc="AC2248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377F5"/>
    <w:multiLevelType w:val="multilevel"/>
    <w:tmpl w:val="0BD436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E4B1577"/>
    <w:multiLevelType w:val="hybridMultilevel"/>
    <w:tmpl w:val="495018C4"/>
    <w:lvl w:ilvl="0" w:tplc="D7BA9C6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48547318"/>
    <w:multiLevelType w:val="hybridMultilevel"/>
    <w:tmpl w:val="7E5E7E10"/>
    <w:lvl w:ilvl="0" w:tplc="D7BA9C6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AFA157D"/>
    <w:multiLevelType w:val="multilevel"/>
    <w:tmpl w:val="DA604B5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3E135FB"/>
    <w:multiLevelType w:val="hybridMultilevel"/>
    <w:tmpl w:val="35D0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841DA2"/>
    <w:multiLevelType w:val="hybridMultilevel"/>
    <w:tmpl w:val="10B69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914131"/>
    <w:multiLevelType w:val="hybridMultilevel"/>
    <w:tmpl w:val="84263B52"/>
    <w:lvl w:ilvl="0" w:tplc="D7BA9C6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70A35"/>
    <w:multiLevelType w:val="hybridMultilevel"/>
    <w:tmpl w:val="9FACFB06"/>
    <w:lvl w:ilvl="0" w:tplc="EA2C2458">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0051D4"/>
    <w:multiLevelType w:val="multilevel"/>
    <w:tmpl w:val="10B69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DDF4FFC"/>
    <w:multiLevelType w:val="hybridMultilevel"/>
    <w:tmpl w:val="5A0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5017811"/>
    <w:multiLevelType w:val="hybridMultilevel"/>
    <w:tmpl w:val="D95E9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74C64C8"/>
    <w:multiLevelType w:val="hybridMultilevel"/>
    <w:tmpl w:val="55AADA34"/>
    <w:lvl w:ilvl="0" w:tplc="D7BA9C6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9F5847"/>
    <w:multiLevelType w:val="multilevel"/>
    <w:tmpl w:val="3356E8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14"/>
  </w:num>
  <w:num w:numId="4">
    <w:abstractNumId w:val="4"/>
  </w:num>
  <w:num w:numId="5">
    <w:abstractNumId w:val="19"/>
  </w:num>
  <w:num w:numId="6">
    <w:abstractNumId w:val="24"/>
  </w:num>
  <w:num w:numId="7">
    <w:abstractNumId w:val="23"/>
  </w:num>
  <w:num w:numId="8">
    <w:abstractNumId w:val="3"/>
  </w:num>
  <w:num w:numId="9">
    <w:abstractNumId w:val="10"/>
  </w:num>
  <w:num w:numId="10">
    <w:abstractNumId w:val="2"/>
  </w:num>
  <w:num w:numId="11">
    <w:abstractNumId w:val="2"/>
  </w:num>
  <w:num w:numId="12">
    <w:abstractNumId w:val="12"/>
  </w:num>
  <w:num w:numId="13">
    <w:abstractNumId w:val="11"/>
  </w:num>
  <w:num w:numId="14">
    <w:abstractNumId w:val="9"/>
  </w:num>
  <w:num w:numId="15">
    <w:abstractNumId w:val="17"/>
  </w:num>
  <w:num w:numId="16">
    <w:abstractNumId w:val="0"/>
  </w:num>
  <w:num w:numId="17">
    <w:abstractNumId w:val="21"/>
  </w:num>
  <w:num w:numId="18">
    <w:abstractNumId w:val="26"/>
  </w:num>
  <w:num w:numId="19">
    <w:abstractNumId w:val="25"/>
  </w:num>
  <w:num w:numId="20">
    <w:abstractNumId w:val="13"/>
  </w:num>
  <w:num w:numId="21">
    <w:abstractNumId w:val="15"/>
  </w:num>
  <w:num w:numId="22">
    <w:abstractNumId w:val="20"/>
  </w:num>
  <w:num w:numId="23">
    <w:abstractNumId w:val="5"/>
  </w:num>
  <w:num w:numId="24">
    <w:abstractNumId w:val="6"/>
  </w:num>
  <w:num w:numId="25">
    <w:abstractNumId w:val="1"/>
  </w:num>
  <w:num w:numId="26">
    <w:abstractNumId w:val="22"/>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370CD"/>
    <w:rsid w:val="00057104"/>
    <w:rsid w:val="000B47B5"/>
    <w:rsid w:val="000C5D42"/>
    <w:rsid w:val="000E7B6E"/>
    <w:rsid w:val="000F6B31"/>
    <w:rsid w:val="00100BF9"/>
    <w:rsid w:val="00121DEA"/>
    <w:rsid w:val="00135F9C"/>
    <w:rsid w:val="00143084"/>
    <w:rsid w:val="00146E21"/>
    <w:rsid w:val="0017064F"/>
    <w:rsid w:val="001806BF"/>
    <w:rsid w:val="00185C01"/>
    <w:rsid w:val="00195FA3"/>
    <w:rsid w:val="001F2937"/>
    <w:rsid w:val="00201FA5"/>
    <w:rsid w:val="00255650"/>
    <w:rsid w:val="00257A15"/>
    <w:rsid w:val="002C32AA"/>
    <w:rsid w:val="002F20F3"/>
    <w:rsid w:val="00341D3E"/>
    <w:rsid w:val="0035216B"/>
    <w:rsid w:val="00376579"/>
    <w:rsid w:val="003A7100"/>
    <w:rsid w:val="003A729F"/>
    <w:rsid w:val="003B6C7F"/>
    <w:rsid w:val="003C7E31"/>
    <w:rsid w:val="003F4352"/>
    <w:rsid w:val="004120B8"/>
    <w:rsid w:val="00422556"/>
    <w:rsid w:val="004633E9"/>
    <w:rsid w:val="00482A7C"/>
    <w:rsid w:val="004F3676"/>
    <w:rsid w:val="005257B3"/>
    <w:rsid w:val="00560628"/>
    <w:rsid w:val="00565D77"/>
    <w:rsid w:val="005E33D6"/>
    <w:rsid w:val="005F3BDA"/>
    <w:rsid w:val="006050D2"/>
    <w:rsid w:val="00626044"/>
    <w:rsid w:val="006301A3"/>
    <w:rsid w:val="00631E2E"/>
    <w:rsid w:val="006415F5"/>
    <w:rsid w:val="00680580"/>
    <w:rsid w:val="00684D29"/>
    <w:rsid w:val="006B54F4"/>
    <w:rsid w:val="006B6A30"/>
    <w:rsid w:val="006D0CEC"/>
    <w:rsid w:val="006D42FB"/>
    <w:rsid w:val="006F6B88"/>
    <w:rsid w:val="007243A4"/>
    <w:rsid w:val="0072600E"/>
    <w:rsid w:val="00730972"/>
    <w:rsid w:val="0074084D"/>
    <w:rsid w:val="007467F6"/>
    <w:rsid w:val="007774F3"/>
    <w:rsid w:val="007A278A"/>
    <w:rsid w:val="007A4585"/>
    <w:rsid w:val="007A4E63"/>
    <w:rsid w:val="007C6B5E"/>
    <w:rsid w:val="007D4693"/>
    <w:rsid w:val="007F3FA9"/>
    <w:rsid w:val="00801ADE"/>
    <w:rsid w:val="00820DEB"/>
    <w:rsid w:val="008A12A7"/>
    <w:rsid w:val="008C0492"/>
    <w:rsid w:val="008C43AE"/>
    <w:rsid w:val="008D19A8"/>
    <w:rsid w:val="008E0D60"/>
    <w:rsid w:val="00923BA7"/>
    <w:rsid w:val="009448CC"/>
    <w:rsid w:val="00951A4F"/>
    <w:rsid w:val="0095324F"/>
    <w:rsid w:val="009576D7"/>
    <w:rsid w:val="00974805"/>
    <w:rsid w:val="00982367"/>
    <w:rsid w:val="009A5220"/>
    <w:rsid w:val="009C545F"/>
    <w:rsid w:val="009D7A72"/>
    <w:rsid w:val="009F6D7A"/>
    <w:rsid w:val="00A006A0"/>
    <w:rsid w:val="00A00BD7"/>
    <w:rsid w:val="00A81F8C"/>
    <w:rsid w:val="00A94EC3"/>
    <w:rsid w:val="00A96BB8"/>
    <w:rsid w:val="00AB2C91"/>
    <w:rsid w:val="00AE537B"/>
    <w:rsid w:val="00B035C1"/>
    <w:rsid w:val="00B368C8"/>
    <w:rsid w:val="00B4355C"/>
    <w:rsid w:val="00B51208"/>
    <w:rsid w:val="00B560F6"/>
    <w:rsid w:val="00B8703F"/>
    <w:rsid w:val="00B916E8"/>
    <w:rsid w:val="00BD2164"/>
    <w:rsid w:val="00BD2514"/>
    <w:rsid w:val="00BE011D"/>
    <w:rsid w:val="00C635FD"/>
    <w:rsid w:val="00CA6863"/>
    <w:rsid w:val="00D3411E"/>
    <w:rsid w:val="00D976B6"/>
    <w:rsid w:val="00DC2B23"/>
    <w:rsid w:val="00DE7E89"/>
    <w:rsid w:val="00E43879"/>
    <w:rsid w:val="00E72CC3"/>
    <w:rsid w:val="00E7605D"/>
    <w:rsid w:val="00E76990"/>
    <w:rsid w:val="00E80C0C"/>
    <w:rsid w:val="00E841F3"/>
    <w:rsid w:val="00E85DB3"/>
    <w:rsid w:val="00EE05AE"/>
    <w:rsid w:val="00EE0753"/>
    <w:rsid w:val="00EE1BB1"/>
    <w:rsid w:val="00F42712"/>
    <w:rsid w:val="00F55C76"/>
    <w:rsid w:val="00F56297"/>
    <w:rsid w:val="00F94DEF"/>
    <w:rsid w:val="00F951BF"/>
    <w:rsid w:val="00FB3EE0"/>
    <w:rsid w:val="00FD6E17"/>
    <w:rsid w:val="00FF1A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A7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2C91"/>
    <w:rPr>
      <w:sz w:val="16"/>
      <w:szCs w:val="16"/>
    </w:rPr>
  </w:style>
  <w:style w:type="paragraph" w:styleId="CommentText">
    <w:name w:val="annotation text"/>
    <w:basedOn w:val="Normal"/>
    <w:link w:val="CommentTextChar"/>
    <w:uiPriority w:val="99"/>
    <w:semiHidden/>
    <w:unhideWhenUsed/>
    <w:rsid w:val="00AB2C91"/>
    <w:pPr>
      <w:spacing w:line="240" w:lineRule="auto"/>
    </w:pPr>
    <w:rPr>
      <w:sz w:val="20"/>
      <w:szCs w:val="20"/>
    </w:rPr>
  </w:style>
  <w:style w:type="character" w:customStyle="1" w:styleId="CommentTextChar">
    <w:name w:val="Comment Text Char"/>
    <w:basedOn w:val="DefaultParagraphFont"/>
    <w:link w:val="CommentText"/>
    <w:uiPriority w:val="99"/>
    <w:semiHidden/>
    <w:rsid w:val="00AB2C91"/>
    <w:rPr>
      <w:sz w:val="20"/>
      <w:szCs w:val="20"/>
      <w:lang w:val="en-US"/>
    </w:rPr>
  </w:style>
  <w:style w:type="paragraph" w:styleId="CommentSubject">
    <w:name w:val="annotation subject"/>
    <w:basedOn w:val="CommentText"/>
    <w:next w:val="CommentText"/>
    <w:link w:val="CommentSubjectChar"/>
    <w:uiPriority w:val="99"/>
    <w:semiHidden/>
    <w:unhideWhenUsed/>
    <w:rsid w:val="00AB2C91"/>
    <w:rPr>
      <w:b/>
      <w:bCs/>
    </w:rPr>
  </w:style>
  <w:style w:type="character" w:customStyle="1" w:styleId="CommentSubjectChar">
    <w:name w:val="Comment Subject Char"/>
    <w:basedOn w:val="CommentTextChar"/>
    <w:link w:val="CommentSubject"/>
    <w:uiPriority w:val="99"/>
    <w:semiHidden/>
    <w:rsid w:val="00AB2C91"/>
    <w:rPr>
      <w:b/>
      <w:bCs/>
      <w:sz w:val="20"/>
      <w:szCs w:val="20"/>
      <w:lang w:val="en-US"/>
    </w:rPr>
  </w:style>
  <w:style w:type="character" w:customStyle="1" w:styleId="st">
    <w:name w:val="st"/>
    <w:basedOn w:val="DefaultParagraphFont"/>
    <w:rsid w:val="00DE7E89"/>
  </w:style>
  <w:style w:type="character" w:styleId="Emphasis">
    <w:name w:val="Emphasis"/>
    <w:basedOn w:val="DefaultParagraphFont"/>
    <w:uiPriority w:val="20"/>
    <w:qFormat/>
    <w:rsid w:val="00DE7E89"/>
    <w:rPr>
      <w:i/>
      <w:iCs/>
    </w:rPr>
  </w:style>
  <w:style w:type="character" w:styleId="Hyperlink">
    <w:name w:val="Hyperlink"/>
    <w:basedOn w:val="DefaultParagraphFont"/>
    <w:uiPriority w:val="99"/>
    <w:unhideWhenUsed/>
    <w:rsid w:val="006D0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2C91"/>
    <w:rPr>
      <w:sz w:val="16"/>
      <w:szCs w:val="16"/>
    </w:rPr>
  </w:style>
  <w:style w:type="paragraph" w:styleId="CommentText">
    <w:name w:val="annotation text"/>
    <w:basedOn w:val="Normal"/>
    <w:link w:val="CommentTextChar"/>
    <w:uiPriority w:val="99"/>
    <w:semiHidden/>
    <w:unhideWhenUsed/>
    <w:rsid w:val="00AB2C91"/>
    <w:pPr>
      <w:spacing w:line="240" w:lineRule="auto"/>
    </w:pPr>
    <w:rPr>
      <w:sz w:val="20"/>
      <w:szCs w:val="20"/>
    </w:rPr>
  </w:style>
  <w:style w:type="character" w:customStyle="1" w:styleId="CommentTextChar">
    <w:name w:val="Comment Text Char"/>
    <w:basedOn w:val="DefaultParagraphFont"/>
    <w:link w:val="CommentText"/>
    <w:uiPriority w:val="99"/>
    <w:semiHidden/>
    <w:rsid w:val="00AB2C91"/>
    <w:rPr>
      <w:sz w:val="20"/>
      <w:szCs w:val="20"/>
      <w:lang w:val="en-US"/>
    </w:rPr>
  </w:style>
  <w:style w:type="paragraph" w:styleId="CommentSubject">
    <w:name w:val="annotation subject"/>
    <w:basedOn w:val="CommentText"/>
    <w:next w:val="CommentText"/>
    <w:link w:val="CommentSubjectChar"/>
    <w:uiPriority w:val="99"/>
    <w:semiHidden/>
    <w:unhideWhenUsed/>
    <w:rsid w:val="00AB2C91"/>
    <w:rPr>
      <w:b/>
      <w:bCs/>
    </w:rPr>
  </w:style>
  <w:style w:type="character" w:customStyle="1" w:styleId="CommentSubjectChar">
    <w:name w:val="Comment Subject Char"/>
    <w:basedOn w:val="CommentTextChar"/>
    <w:link w:val="CommentSubject"/>
    <w:uiPriority w:val="99"/>
    <w:semiHidden/>
    <w:rsid w:val="00AB2C91"/>
    <w:rPr>
      <w:b/>
      <w:bCs/>
      <w:sz w:val="20"/>
      <w:szCs w:val="20"/>
      <w:lang w:val="en-US"/>
    </w:rPr>
  </w:style>
  <w:style w:type="character" w:customStyle="1" w:styleId="st">
    <w:name w:val="st"/>
    <w:basedOn w:val="DefaultParagraphFont"/>
    <w:rsid w:val="00DE7E89"/>
  </w:style>
  <w:style w:type="character" w:styleId="Emphasis">
    <w:name w:val="Emphasis"/>
    <w:basedOn w:val="DefaultParagraphFont"/>
    <w:uiPriority w:val="20"/>
    <w:qFormat/>
    <w:rsid w:val="00DE7E89"/>
    <w:rPr>
      <w:i/>
      <w:iCs/>
    </w:rPr>
  </w:style>
  <w:style w:type="character" w:styleId="Hyperlink">
    <w:name w:val="Hyperlink"/>
    <w:basedOn w:val="DefaultParagraphFont"/>
    <w:uiPriority w:val="99"/>
    <w:unhideWhenUsed/>
    <w:rsid w:val="006D0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lni.gov.uk/index/publications/pubs-further-education/the-leitch-review-of-skills.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A5BA-64BB-47C9-B894-4180D7BD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61280800.dotm</Template>
  <TotalTime>0</TotalTime>
  <Pages>2</Pages>
  <Words>1455</Words>
  <Characters>8297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2012-07-09T11:28:00Z</dcterms:created>
  <dcterms:modified xsi:type="dcterms:W3CDTF">2012-07-09T11:28:00Z</dcterms:modified>
</cp:coreProperties>
</file>