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37E97" w14:textId="77777777" w:rsidR="00A00BD7" w:rsidRPr="00D034A0" w:rsidRDefault="005E3829" w:rsidP="00D034A0">
      <w:pPr>
        <w:spacing w:after="120"/>
        <w:rPr>
          <w:b/>
          <w:sz w:val="24"/>
          <w:szCs w:val="24"/>
          <w:lang w:val="en-GB"/>
        </w:rPr>
      </w:pPr>
      <w:bookmarkStart w:id="0" w:name="_GoBack"/>
      <w:bookmarkEnd w:id="0"/>
      <w:r>
        <w:rPr>
          <w:b/>
          <w:bCs/>
          <w:sz w:val="24"/>
          <w:szCs w:val="24"/>
        </w:rPr>
        <w:t>12</w:t>
      </w:r>
      <w:r w:rsidR="00D034A0" w:rsidRPr="00D034A0">
        <w:rPr>
          <w:b/>
          <w:bCs/>
          <w:sz w:val="24"/>
          <w:szCs w:val="24"/>
        </w:rPr>
        <w:t xml:space="preserve"> </w:t>
      </w:r>
      <w:r w:rsidR="00D034A0" w:rsidRPr="00D034A0">
        <w:rPr>
          <w:b/>
          <w:sz w:val="24"/>
          <w:szCs w:val="24"/>
          <w:lang w:val="en-GB"/>
        </w:rPr>
        <w:t xml:space="preserve">Risk </w:t>
      </w:r>
      <w:r w:rsidR="007D3FE7">
        <w:rPr>
          <w:b/>
          <w:sz w:val="24"/>
          <w:szCs w:val="24"/>
          <w:lang w:val="en-GB"/>
        </w:rPr>
        <w:t>A</w:t>
      </w:r>
      <w:r w:rsidR="00D034A0" w:rsidRPr="00D034A0">
        <w:rPr>
          <w:b/>
          <w:sz w:val="24"/>
          <w:szCs w:val="24"/>
          <w:lang w:val="en-GB"/>
        </w:rPr>
        <w:t>nalysis tool / guide</w:t>
      </w:r>
    </w:p>
    <w:p w14:paraId="772C3886" w14:textId="77777777" w:rsidR="007A4E63" w:rsidRDefault="007451D9" w:rsidP="001E482E">
      <w:pPr>
        <w:spacing w:after="0"/>
        <w:rPr>
          <w:sz w:val="20"/>
          <w:szCs w:val="20"/>
          <w:u w:val="single"/>
          <w:lang w:val="en-GB"/>
        </w:rPr>
      </w:pPr>
      <w:r>
        <w:rPr>
          <w:sz w:val="20"/>
          <w:szCs w:val="20"/>
          <w:u w:val="single"/>
          <w:lang w:val="en-GB"/>
        </w:rPr>
        <w:t>Purpose</w:t>
      </w:r>
    </w:p>
    <w:p w14:paraId="76816C6E" w14:textId="4A2F7268" w:rsidR="007451D9" w:rsidRDefault="00D47D40" w:rsidP="001E482E">
      <w:pPr>
        <w:spacing w:after="0"/>
        <w:rPr>
          <w:sz w:val="20"/>
          <w:szCs w:val="20"/>
          <w:lang w:val="en-GB"/>
        </w:rPr>
      </w:pPr>
      <w:r>
        <w:rPr>
          <w:sz w:val="20"/>
          <w:szCs w:val="20"/>
          <w:lang w:val="en-GB"/>
        </w:rPr>
        <w:t xml:space="preserve">The aim of this </w:t>
      </w:r>
      <w:r w:rsidR="00D56226">
        <w:rPr>
          <w:sz w:val="20"/>
          <w:szCs w:val="20"/>
          <w:lang w:val="en-GB"/>
        </w:rPr>
        <w:t>tool / guide is</w:t>
      </w:r>
      <w:r w:rsidR="007451D9">
        <w:rPr>
          <w:sz w:val="20"/>
          <w:szCs w:val="20"/>
          <w:lang w:val="en-GB"/>
        </w:rPr>
        <w:t xml:space="preserve"> to assist </w:t>
      </w:r>
      <w:r>
        <w:rPr>
          <w:sz w:val="20"/>
          <w:szCs w:val="20"/>
          <w:lang w:val="en-GB"/>
        </w:rPr>
        <w:t xml:space="preserve">staff from </w:t>
      </w:r>
      <w:r w:rsidR="007D3FE7">
        <w:rPr>
          <w:sz w:val="20"/>
          <w:szCs w:val="20"/>
          <w:lang w:val="en-GB"/>
        </w:rPr>
        <w:t xml:space="preserve">Higher Education Institutions </w:t>
      </w:r>
      <w:r w:rsidR="0094125E">
        <w:rPr>
          <w:sz w:val="20"/>
          <w:szCs w:val="20"/>
          <w:lang w:val="en-GB"/>
        </w:rPr>
        <w:t>[</w:t>
      </w:r>
      <w:r>
        <w:rPr>
          <w:sz w:val="20"/>
          <w:szCs w:val="20"/>
          <w:lang w:val="en-GB"/>
        </w:rPr>
        <w:t>HEI</w:t>
      </w:r>
      <w:r w:rsidR="007D3FE7">
        <w:rPr>
          <w:sz w:val="20"/>
          <w:szCs w:val="20"/>
          <w:lang w:val="en-GB"/>
        </w:rPr>
        <w:t>s</w:t>
      </w:r>
      <w:r w:rsidR="0094125E">
        <w:rPr>
          <w:sz w:val="20"/>
          <w:szCs w:val="20"/>
          <w:lang w:val="en-GB"/>
        </w:rPr>
        <w:t>]</w:t>
      </w:r>
      <w:r>
        <w:rPr>
          <w:sz w:val="20"/>
          <w:szCs w:val="20"/>
          <w:lang w:val="en-GB"/>
        </w:rPr>
        <w:t>/</w:t>
      </w:r>
      <w:r w:rsidR="007D3FE7">
        <w:rPr>
          <w:sz w:val="20"/>
          <w:szCs w:val="20"/>
          <w:lang w:val="en-GB"/>
        </w:rPr>
        <w:t xml:space="preserve">Further Education Colleges </w:t>
      </w:r>
      <w:r w:rsidR="0094125E">
        <w:rPr>
          <w:sz w:val="20"/>
          <w:szCs w:val="20"/>
          <w:lang w:val="en-GB"/>
        </w:rPr>
        <w:t>[</w:t>
      </w:r>
      <w:r>
        <w:rPr>
          <w:sz w:val="20"/>
          <w:szCs w:val="20"/>
          <w:lang w:val="en-GB"/>
        </w:rPr>
        <w:t>FECs</w:t>
      </w:r>
      <w:r w:rsidR="0094125E">
        <w:rPr>
          <w:sz w:val="20"/>
          <w:szCs w:val="20"/>
          <w:lang w:val="en-GB"/>
        </w:rPr>
        <w:t>]</w:t>
      </w:r>
      <w:r>
        <w:rPr>
          <w:sz w:val="20"/>
          <w:szCs w:val="20"/>
          <w:lang w:val="en-GB"/>
        </w:rPr>
        <w:t xml:space="preserve"> undertaking </w:t>
      </w:r>
      <w:r w:rsidR="001C2068">
        <w:rPr>
          <w:sz w:val="20"/>
          <w:szCs w:val="20"/>
          <w:lang w:val="en-GB"/>
        </w:rPr>
        <w:t>e</w:t>
      </w:r>
      <w:r>
        <w:rPr>
          <w:sz w:val="20"/>
          <w:szCs w:val="20"/>
          <w:lang w:val="en-GB"/>
        </w:rPr>
        <w:t xml:space="preserve">mployer </w:t>
      </w:r>
      <w:r w:rsidR="001C2068">
        <w:rPr>
          <w:sz w:val="20"/>
          <w:szCs w:val="20"/>
          <w:lang w:val="en-GB"/>
        </w:rPr>
        <w:t>e</w:t>
      </w:r>
      <w:r>
        <w:rPr>
          <w:sz w:val="20"/>
          <w:szCs w:val="20"/>
          <w:lang w:val="en-GB"/>
        </w:rPr>
        <w:t xml:space="preserve">ngagement work </w:t>
      </w:r>
      <w:r w:rsidR="007D3FE7">
        <w:rPr>
          <w:sz w:val="20"/>
          <w:szCs w:val="20"/>
          <w:lang w:val="en-GB"/>
        </w:rPr>
        <w:t>to</w:t>
      </w:r>
      <w:r>
        <w:rPr>
          <w:sz w:val="20"/>
          <w:szCs w:val="20"/>
          <w:lang w:val="en-GB"/>
        </w:rPr>
        <w:t xml:space="preserve"> understan</w:t>
      </w:r>
      <w:r w:rsidR="007D3FE7">
        <w:rPr>
          <w:sz w:val="20"/>
          <w:szCs w:val="20"/>
          <w:lang w:val="en-GB"/>
        </w:rPr>
        <w:t>d</w:t>
      </w:r>
      <w:r>
        <w:rPr>
          <w:sz w:val="20"/>
          <w:szCs w:val="20"/>
          <w:lang w:val="en-GB"/>
        </w:rPr>
        <w:t xml:space="preserve"> and act on </w:t>
      </w:r>
      <w:r w:rsidR="007D3FE7">
        <w:rPr>
          <w:sz w:val="20"/>
          <w:szCs w:val="20"/>
          <w:lang w:val="en-GB"/>
        </w:rPr>
        <w:t>risk analysis.</w:t>
      </w:r>
      <w:r>
        <w:rPr>
          <w:sz w:val="20"/>
          <w:szCs w:val="20"/>
          <w:lang w:val="en-GB"/>
        </w:rPr>
        <w:t xml:space="preserve"> </w:t>
      </w:r>
      <w:r w:rsidR="007451D9">
        <w:rPr>
          <w:sz w:val="20"/>
          <w:szCs w:val="20"/>
          <w:lang w:val="en-GB"/>
        </w:rPr>
        <w:t xml:space="preserve">Most large organisations maintain risk registers and use protocols to assess and manage risk. The objective here is not to replicate </w:t>
      </w:r>
      <w:r w:rsidR="007D3FE7">
        <w:rPr>
          <w:sz w:val="20"/>
          <w:szCs w:val="20"/>
          <w:lang w:val="en-GB"/>
        </w:rPr>
        <w:t>the</w:t>
      </w:r>
      <w:r w:rsidR="007451D9">
        <w:rPr>
          <w:sz w:val="20"/>
          <w:szCs w:val="20"/>
          <w:lang w:val="en-GB"/>
        </w:rPr>
        <w:t xml:space="preserve"> detail</w:t>
      </w:r>
      <w:r w:rsidR="007D3FE7">
        <w:rPr>
          <w:sz w:val="20"/>
          <w:szCs w:val="20"/>
          <w:lang w:val="en-GB"/>
        </w:rPr>
        <w:t xml:space="preserve"> of</w:t>
      </w:r>
      <w:r w:rsidR="007451D9">
        <w:rPr>
          <w:sz w:val="20"/>
          <w:szCs w:val="20"/>
          <w:lang w:val="en-GB"/>
        </w:rPr>
        <w:t xml:space="preserve"> these systems but to focus on the initial, exploratory and developmental phases of </w:t>
      </w:r>
      <w:r w:rsidR="001C2068">
        <w:rPr>
          <w:sz w:val="20"/>
          <w:szCs w:val="20"/>
          <w:lang w:val="en-GB"/>
        </w:rPr>
        <w:t>e</w:t>
      </w:r>
      <w:r w:rsidR="007451D9">
        <w:rPr>
          <w:sz w:val="20"/>
          <w:szCs w:val="20"/>
          <w:lang w:val="en-GB"/>
        </w:rPr>
        <w:t xml:space="preserve">mployer </w:t>
      </w:r>
      <w:r w:rsidR="001C2068">
        <w:rPr>
          <w:sz w:val="20"/>
          <w:szCs w:val="20"/>
          <w:lang w:val="en-GB"/>
        </w:rPr>
        <w:t>e</w:t>
      </w:r>
      <w:r w:rsidR="007451D9">
        <w:rPr>
          <w:sz w:val="20"/>
          <w:szCs w:val="20"/>
          <w:lang w:val="en-GB"/>
        </w:rPr>
        <w:t xml:space="preserve">ngagement. This is work that is frequently undertaken </w:t>
      </w:r>
      <w:r w:rsidR="001C2068">
        <w:rPr>
          <w:sz w:val="20"/>
          <w:szCs w:val="20"/>
          <w:lang w:val="en-GB"/>
        </w:rPr>
        <w:t>face-to-</w:t>
      </w:r>
      <w:r w:rsidR="007451D9">
        <w:rPr>
          <w:sz w:val="20"/>
          <w:szCs w:val="20"/>
          <w:lang w:val="en-GB"/>
        </w:rPr>
        <w:t>face, at an employer’s premises and where the member of HEI/FEC staff is the sole representative of their organisation. Therefore what follows is intended to highlight many known potential risks of Employer Engagement work and assist practitioners</w:t>
      </w:r>
      <w:r w:rsidR="00F064BE">
        <w:rPr>
          <w:sz w:val="20"/>
          <w:szCs w:val="20"/>
          <w:lang w:val="en-GB"/>
        </w:rPr>
        <w:t>, and those that manage them,</w:t>
      </w:r>
      <w:r w:rsidR="007451D9">
        <w:rPr>
          <w:sz w:val="20"/>
          <w:szCs w:val="20"/>
          <w:lang w:val="en-GB"/>
        </w:rPr>
        <w:t xml:space="preserve"> in avoiding major risks and assisting in long term risk management by their organisations.</w:t>
      </w:r>
    </w:p>
    <w:p w14:paraId="5E29AC9F" w14:textId="77777777" w:rsidR="00833629" w:rsidRDefault="00833629" w:rsidP="001E482E">
      <w:pPr>
        <w:spacing w:after="0"/>
        <w:rPr>
          <w:sz w:val="20"/>
          <w:szCs w:val="20"/>
          <w:u w:val="single"/>
          <w:lang w:val="en-GB"/>
        </w:rPr>
      </w:pPr>
    </w:p>
    <w:p w14:paraId="7FD048EB" w14:textId="77777777" w:rsidR="00907F3C" w:rsidRDefault="00907F3C" w:rsidP="00F064BE">
      <w:pPr>
        <w:spacing w:after="0"/>
        <w:rPr>
          <w:b/>
          <w:bCs/>
          <w:sz w:val="20"/>
          <w:szCs w:val="20"/>
          <w:lang w:val="en-GB"/>
        </w:rPr>
      </w:pPr>
      <w:r w:rsidRPr="001E482E">
        <w:rPr>
          <w:b/>
          <w:bCs/>
          <w:sz w:val="20"/>
          <w:szCs w:val="20"/>
          <w:lang w:val="en-GB"/>
        </w:rPr>
        <w:t>Types of risk in employer engagement work and key aspects of mitigation:</w:t>
      </w:r>
    </w:p>
    <w:p w14:paraId="748A548E" w14:textId="77777777" w:rsidR="003F53CD" w:rsidRDefault="003F53CD" w:rsidP="003F53CD">
      <w:pPr>
        <w:spacing w:after="0"/>
        <w:rPr>
          <w:sz w:val="20"/>
          <w:szCs w:val="20"/>
          <w:lang w:val="en-GB"/>
        </w:rPr>
      </w:pPr>
    </w:p>
    <w:p w14:paraId="79DACF15" w14:textId="77777777" w:rsidR="007451D9" w:rsidRPr="00907F3C" w:rsidRDefault="007451D9" w:rsidP="00E73DE3">
      <w:pPr>
        <w:pStyle w:val="ListParagraph"/>
        <w:numPr>
          <w:ilvl w:val="0"/>
          <w:numId w:val="7"/>
        </w:numPr>
        <w:spacing w:after="0"/>
        <w:rPr>
          <w:sz w:val="20"/>
          <w:szCs w:val="20"/>
          <w:u w:val="single"/>
          <w:lang w:val="en-GB"/>
        </w:rPr>
      </w:pPr>
      <w:r w:rsidRPr="00907F3C">
        <w:rPr>
          <w:sz w:val="20"/>
          <w:szCs w:val="20"/>
          <w:u w:val="single"/>
          <w:lang w:val="en-GB"/>
        </w:rPr>
        <w:t>Gathering data</w:t>
      </w:r>
      <w:r w:rsidR="00907F3C" w:rsidRPr="00907F3C">
        <w:rPr>
          <w:sz w:val="20"/>
          <w:szCs w:val="20"/>
          <w:u w:val="single"/>
          <w:lang w:val="en-GB"/>
        </w:rPr>
        <w:t xml:space="preserve"> to record and manage risk</w:t>
      </w:r>
    </w:p>
    <w:p w14:paraId="5A475070" w14:textId="77777777" w:rsidR="00833629" w:rsidRDefault="00833629" w:rsidP="00E73DE3">
      <w:pPr>
        <w:spacing w:after="0"/>
        <w:ind w:left="720"/>
        <w:rPr>
          <w:sz w:val="20"/>
          <w:szCs w:val="20"/>
          <w:lang w:val="en-GB"/>
        </w:rPr>
      </w:pPr>
      <w:r>
        <w:rPr>
          <w:sz w:val="20"/>
          <w:szCs w:val="20"/>
          <w:lang w:val="en-GB"/>
        </w:rPr>
        <w:t xml:space="preserve">As mentioned above, </w:t>
      </w:r>
      <w:r w:rsidR="005C1727">
        <w:rPr>
          <w:sz w:val="20"/>
          <w:szCs w:val="20"/>
          <w:lang w:val="en-GB"/>
        </w:rPr>
        <w:t xml:space="preserve">many organisations </w:t>
      </w:r>
      <w:r w:rsidR="005C1727" w:rsidRPr="005E3829">
        <w:rPr>
          <w:sz w:val="20"/>
          <w:szCs w:val="20"/>
          <w:lang w:val="en-GB"/>
        </w:rPr>
        <w:t xml:space="preserve">maintain </w:t>
      </w:r>
      <w:r w:rsidR="005C1727" w:rsidRPr="005E3829">
        <w:rPr>
          <w:b/>
          <w:bCs/>
          <w:sz w:val="20"/>
          <w:szCs w:val="20"/>
          <w:lang w:val="en-GB"/>
        </w:rPr>
        <w:t>risk registers</w:t>
      </w:r>
      <w:r w:rsidR="005C1727" w:rsidRPr="005E3829">
        <w:rPr>
          <w:sz w:val="20"/>
          <w:szCs w:val="20"/>
          <w:lang w:val="en-GB"/>
        </w:rPr>
        <w:t xml:space="preserve"> and use </w:t>
      </w:r>
      <w:r w:rsidR="005C1727" w:rsidRPr="005E3829">
        <w:rPr>
          <w:b/>
          <w:bCs/>
          <w:sz w:val="20"/>
          <w:szCs w:val="20"/>
          <w:lang w:val="en-GB"/>
        </w:rPr>
        <w:t>protocols to assess and manage risk</w:t>
      </w:r>
      <w:r w:rsidR="005C1727" w:rsidRPr="005E3829">
        <w:rPr>
          <w:sz w:val="20"/>
          <w:szCs w:val="20"/>
          <w:lang w:val="en-GB"/>
        </w:rPr>
        <w:t>. To do this effectively</w:t>
      </w:r>
      <w:r w:rsidR="00815008" w:rsidRPr="005E3829">
        <w:rPr>
          <w:sz w:val="20"/>
          <w:szCs w:val="20"/>
          <w:lang w:val="en-GB"/>
        </w:rPr>
        <w:t>,</w:t>
      </w:r>
      <w:r w:rsidR="005C1727" w:rsidRPr="005E3829">
        <w:rPr>
          <w:sz w:val="20"/>
          <w:szCs w:val="20"/>
          <w:lang w:val="en-GB"/>
        </w:rPr>
        <w:t xml:space="preserve"> </w:t>
      </w:r>
      <w:r w:rsidR="00815008" w:rsidRPr="005E3829">
        <w:rPr>
          <w:sz w:val="20"/>
          <w:szCs w:val="20"/>
          <w:lang w:val="en-GB"/>
        </w:rPr>
        <w:t>such processes rely on the input of reliable data, about which judgements can be made.</w:t>
      </w:r>
      <w:r w:rsidR="00815008">
        <w:rPr>
          <w:sz w:val="20"/>
          <w:szCs w:val="20"/>
          <w:lang w:val="en-GB"/>
        </w:rPr>
        <w:t xml:space="preserve"> </w:t>
      </w:r>
    </w:p>
    <w:p w14:paraId="7CE5C39B" w14:textId="77777777" w:rsidR="002C1BB5" w:rsidRDefault="00815008" w:rsidP="00E73DE3">
      <w:pPr>
        <w:spacing w:after="0"/>
        <w:ind w:left="720"/>
        <w:rPr>
          <w:sz w:val="20"/>
          <w:szCs w:val="20"/>
          <w:lang w:val="en-GB"/>
        </w:rPr>
      </w:pPr>
      <w:r w:rsidRPr="00771AE2">
        <w:rPr>
          <w:sz w:val="20"/>
          <w:szCs w:val="20"/>
          <w:u w:val="single"/>
          <w:lang w:val="en-GB"/>
        </w:rPr>
        <w:t>Mitigation</w:t>
      </w:r>
      <w:r>
        <w:rPr>
          <w:sz w:val="20"/>
          <w:szCs w:val="20"/>
          <w:lang w:val="en-GB"/>
        </w:rPr>
        <w:t xml:space="preserve">: </w:t>
      </w:r>
      <w:proofErr w:type="gramStart"/>
      <w:r>
        <w:rPr>
          <w:sz w:val="20"/>
          <w:szCs w:val="20"/>
          <w:lang w:val="en-GB"/>
        </w:rPr>
        <w:t>those undertaking employer engagement work</w:t>
      </w:r>
      <w:proofErr w:type="gramEnd"/>
      <w:r>
        <w:rPr>
          <w:sz w:val="20"/>
          <w:szCs w:val="20"/>
          <w:lang w:val="en-GB"/>
        </w:rPr>
        <w:t xml:space="preserve"> on behalf of an HEI/FEC should </w:t>
      </w:r>
      <w:r w:rsidR="00907F3C">
        <w:rPr>
          <w:sz w:val="20"/>
          <w:szCs w:val="20"/>
          <w:lang w:val="en-GB"/>
        </w:rPr>
        <w:t xml:space="preserve">be familiar with the data </w:t>
      </w:r>
      <w:r>
        <w:rPr>
          <w:sz w:val="20"/>
          <w:szCs w:val="20"/>
          <w:lang w:val="en-GB"/>
        </w:rPr>
        <w:t>needs and format of such processes</w:t>
      </w:r>
      <w:r w:rsidR="00771AE2">
        <w:rPr>
          <w:sz w:val="20"/>
          <w:szCs w:val="20"/>
          <w:lang w:val="en-GB"/>
        </w:rPr>
        <w:t>; time to gather this data need</w:t>
      </w:r>
      <w:r w:rsidR="00907F3C">
        <w:rPr>
          <w:sz w:val="20"/>
          <w:szCs w:val="20"/>
          <w:lang w:val="en-GB"/>
        </w:rPr>
        <w:t>s</w:t>
      </w:r>
      <w:r w:rsidR="00771AE2">
        <w:rPr>
          <w:sz w:val="20"/>
          <w:szCs w:val="20"/>
          <w:lang w:val="en-GB"/>
        </w:rPr>
        <w:t xml:space="preserve"> to be factored </w:t>
      </w:r>
      <w:r w:rsidR="00901367">
        <w:rPr>
          <w:sz w:val="20"/>
          <w:szCs w:val="20"/>
          <w:lang w:val="en-GB"/>
        </w:rPr>
        <w:t>into</w:t>
      </w:r>
      <w:r w:rsidR="00771AE2">
        <w:rPr>
          <w:sz w:val="20"/>
          <w:szCs w:val="20"/>
          <w:lang w:val="en-GB"/>
        </w:rPr>
        <w:t xml:space="preserve"> employer engagement work. </w:t>
      </w:r>
    </w:p>
    <w:p w14:paraId="158E193B" w14:textId="77777777" w:rsidR="002C1BB5" w:rsidRDefault="002C1BB5" w:rsidP="002C1BB5">
      <w:pPr>
        <w:spacing w:after="0"/>
        <w:ind w:left="360"/>
        <w:rPr>
          <w:sz w:val="20"/>
          <w:szCs w:val="20"/>
          <w:u w:val="single"/>
          <w:lang w:val="en-GB"/>
        </w:rPr>
      </w:pPr>
    </w:p>
    <w:p w14:paraId="076AB318" w14:textId="5D3A9855" w:rsidR="00DF6332" w:rsidRPr="002C1BB5" w:rsidRDefault="00DF6332" w:rsidP="00E73DE3">
      <w:pPr>
        <w:pStyle w:val="ListParagraph"/>
        <w:numPr>
          <w:ilvl w:val="0"/>
          <w:numId w:val="7"/>
        </w:numPr>
        <w:spacing w:after="0"/>
        <w:rPr>
          <w:sz w:val="20"/>
          <w:szCs w:val="20"/>
          <w:u w:val="single"/>
          <w:lang w:val="en-GB"/>
        </w:rPr>
      </w:pPr>
      <w:r w:rsidRPr="002C1BB5">
        <w:rPr>
          <w:sz w:val="20"/>
          <w:szCs w:val="20"/>
          <w:u w:val="single"/>
          <w:lang w:val="en-GB"/>
        </w:rPr>
        <w:t xml:space="preserve">Duty of care </w:t>
      </w:r>
      <w:r w:rsidR="00C77694">
        <w:rPr>
          <w:sz w:val="20"/>
          <w:szCs w:val="20"/>
          <w:u w:val="single"/>
          <w:lang w:val="en-GB"/>
        </w:rPr>
        <w:t xml:space="preserve">- </w:t>
      </w:r>
      <w:r w:rsidR="0094125E">
        <w:rPr>
          <w:sz w:val="20"/>
          <w:szCs w:val="20"/>
          <w:u w:val="single"/>
          <w:lang w:val="en-GB"/>
        </w:rPr>
        <w:t>s</w:t>
      </w:r>
      <w:r w:rsidR="003C7207">
        <w:rPr>
          <w:sz w:val="20"/>
          <w:szCs w:val="20"/>
          <w:u w:val="single"/>
          <w:lang w:val="en-GB"/>
        </w:rPr>
        <w:t xml:space="preserve">mall </w:t>
      </w:r>
      <w:r w:rsidR="0094125E">
        <w:rPr>
          <w:sz w:val="20"/>
          <w:szCs w:val="20"/>
          <w:u w:val="single"/>
          <w:lang w:val="en-GB"/>
        </w:rPr>
        <w:t>and m</w:t>
      </w:r>
      <w:r w:rsidR="003C7207">
        <w:rPr>
          <w:sz w:val="20"/>
          <w:szCs w:val="20"/>
          <w:u w:val="single"/>
          <w:lang w:val="en-GB"/>
        </w:rPr>
        <w:t xml:space="preserve">edium </w:t>
      </w:r>
      <w:r w:rsidR="0094125E">
        <w:rPr>
          <w:sz w:val="20"/>
          <w:szCs w:val="20"/>
          <w:u w:val="single"/>
          <w:lang w:val="en-GB"/>
        </w:rPr>
        <w:t>sized e</w:t>
      </w:r>
      <w:r w:rsidR="003C7207">
        <w:rPr>
          <w:sz w:val="20"/>
          <w:szCs w:val="20"/>
          <w:u w:val="single"/>
          <w:lang w:val="en-GB"/>
        </w:rPr>
        <w:t>nterprise</w:t>
      </w:r>
      <w:r w:rsidR="0000092F">
        <w:rPr>
          <w:sz w:val="20"/>
          <w:szCs w:val="20"/>
          <w:u w:val="single"/>
          <w:lang w:val="en-GB"/>
        </w:rPr>
        <w:t>s</w:t>
      </w:r>
      <w:r w:rsidR="003C7207">
        <w:rPr>
          <w:sz w:val="20"/>
          <w:szCs w:val="20"/>
          <w:u w:val="single"/>
          <w:lang w:val="en-GB"/>
        </w:rPr>
        <w:t xml:space="preserve"> </w:t>
      </w:r>
      <w:r w:rsidR="0094125E">
        <w:rPr>
          <w:sz w:val="20"/>
          <w:szCs w:val="20"/>
          <w:u w:val="single"/>
          <w:lang w:val="en-GB"/>
        </w:rPr>
        <w:t>[</w:t>
      </w:r>
      <w:r w:rsidR="003C7207">
        <w:rPr>
          <w:sz w:val="20"/>
          <w:szCs w:val="20"/>
          <w:u w:val="single"/>
          <w:lang w:val="en-GB"/>
        </w:rPr>
        <w:t>SMEs</w:t>
      </w:r>
      <w:r w:rsidR="0094125E">
        <w:rPr>
          <w:sz w:val="20"/>
          <w:szCs w:val="20"/>
          <w:u w:val="single"/>
          <w:lang w:val="en-GB"/>
        </w:rPr>
        <w:t>]</w:t>
      </w:r>
    </w:p>
    <w:p w14:paraId="23655E36" w14:textId="77777777" w:rsidR="00DF6332" w:rsidRDefault="00DF6332" w:rsidP="00E73DE3">
      <w:pPr>
        <w:spacing w:after="0"/>
        <w:ind w:left="720"/>
        <w:rPr>
          <w:sz w:val="20"/>
          <w:szCs w:val="20"/>
          <w:lang w:val="en-GB"/>
        </w:rPr>
      </w:pPr>
      <w:r>
        <w:rPr>
          <w:sz w:val="20"/>
          <w:szCs w:val="20"/>
          <w:lang w:val="en-GB"/>
        </w:rPr>
        <w:t xml:space="preserve">The focus of </w:t>
      </w:r>
      <w:r w:rsidRPr="00E831EB">
        <w:rPr>
          <w:sz w:val="20"/>
          <w:szCs w:val="20"/>
          <w:lang w:val="en-GB"/>
        </w:rPr>
        <w:t>the section above was on HEI/FECs</w:t>
      </w:r>
      <w:r w:rsidR="00901367">
        <w:rPr>
          <w:sz w:val="20"/>
          <w:szCs w:val="20"/>
          <w:lang w:val="en-GB"/>
        </w:rPr>
        <w:t>;</w:t>
      </w:r>
      <w:r w:rsidRPr="00E831EB">
        <w:rPr>
          <w:sz w:val="20"/>
          <w:szCs w:val="20"/>
          <w:lang w:val="en-GB"/>
        </w:rPr>
        <w:t xml:space="preserve"> however some smaller employers lack experience in assessing and managing risk</w:t>
      </w:r>
      <w:r w:rsidR="00C77694">
        <w:rPr>
          <w:sz w:val="20"/>
          <w:szCs w:val="20"/>
          <w:lang w:val="en-GB"/>
        </w:rPr>
        <w:t xml:space="preserve">, especially </w:t>
      </w:r>
      <w:r w:rsidR="00901367">
        <w:rPr>
          <w:sz w:val="20"/>
          <w:szCs w:val="20"/>
          <w:lang w:val="en-GB"/>
        </w:rPr>
        <w:t>relating</w:t>
      </w:r>
      <w:r w:rsidR="00C77694">
        <w:rPr>
          <w:sz w:val="20"/>
          <w:szCs w:val="20"/>
          <w:lang w:val="en-GB"/>
        </w:rPr>
        <w:t xml:space="preserve"> to students and research</w:t>
      </w:r>
      <w:r w:rsidRPr="00E831EB">
        <w:rPr>
          <w:sz w:val="20"/>
          <w:szCs w:val="20"/>
          <w:lang w:val="en-GB"/>
        </w:rPr>
        <w:t>.</w:t>
      </w:r>
      <w:r w:rsidR="0000092F" w:rsidRPr="0000092F">
        <w:rPr>
          <w:sz w:val="20"/>
          <w:szCs w:val="20"/>
          <w:lang w:val="en-GB"/>
        </w:rPr>
        <w:t xml:space="preserve"> </w:t>
      </w:r>
    </w:p>
    <w:p w14:paraId="02DC03D4" w14:textId="77777777" w:rsidR="00DF6332" w:rsidRDefault="00DF6332" w:rsidP="00E73DE3">
      <w:pPr>
        <w:spacing w:after="0"/>
        <w:ind w:left="720"/>
        <w:rPr>
          <w:sz w:val="20"/>
          <w:szCs w:val="20"/>
          <w:lang w:val="en-GB"/>
        </w:rPr>
      </w:pPr>
      <w:r w:rsidRPr="00E831EB">
        <w:rPr>
          <w:sz w:val="20"/>
          <w:szCs w:val="20"/>
          <w:u w:val="single"/>
          <w:lang w:val="en-GB"/>
        </w:rPr>
        <w:t>Mitigation</w:t>
      </w:r>
      <w:r>
        <w:rPr>
          <w:sz w:val="20"/>
          <w:szCs w:val="20"/>
          <w:lang w:val="en-GB"/>
        </w:rPr>
        <w:t>: in these circumstances HEI/FEC risk analysis should be shared with the employer</w:t>
      </w:r>
      <w:r w:rsidR="0000092F">
        <w:rPr>
          <w:sz w:val="20"/>
          <w:szCs w:val="20"/>
          <w:lang w:val="en-GB"/>
        </w:rPr>
        <w:t>.</w:t>
      </w:r>
    </w:p>
    <w:p w14:paraId="4D8B970F" w14:textId="77777777" w:rsidR="0000092F" w:rsidRDefault="0000092F" w:rsidP="0000092F">
      <w:pPr>
        <w:spacing w:after="0"/>
        <w:ind w:left="364"/>
        <w:rPr>
          <w:sz w:val="20"/>
          <w:szCs w:val="20"/>
          <w:lang w:val="en-GB"/>
        </w:rPr>
      </w:pPr>
    </w:p>
    <w:p w14:paraId="7F2EF962" w14:textId="77777777" w:rsidR="0000092F" w:rsidRPr="002C1BB5" w:rsidRDefault="0000092F" w:rsidP="00E73DE3">
      <w:pPr>
        <w:pStyle w:val="ListParagraph"/>
        <w:numPr>
          <w:ilvl w:val="0"/>
          <w:numId w:val="7"/>
        </w:numPr>
        <w:spacing w:after="0"/>
        <w:rPr>
          <w:sz w:val="20"/>
          <w:szCs w:val="20"/>
          <w:u w:val="single"/>
          <w:lang w:val="en-GB"/>
        </w:rPr>
      </w:pPr>
      <w:r w:rsidRPr="002C1BB5">
        <w:rPr>
          <w:sz w:val="20"/>
          <w:szCs w:val="20"/>
          <w:u w:val="single"/>
          <w:lang w:val="en-GB"/>
        </w:rPr>
        <w:t xml:space="preserve">Duty of care </w:t>
      </w:r>
      <w:r w:rsidR="00C77694">
        <w:rPr>
          <w:sz w:val="20"/>
          <w:szCs w:val="20"/>
          <w:u w:val="single"/>
          <w:lang w:val="en-GB"/>
        </w:rPr>
        <w:t xml:space="preserve">- </w:t>
      </w:r>
      <w:r>
        <w:rPr>
          <w:sz w:val="20"/>
          <w:szCs w:val="20"/>
          <w:u w:val="single"/>
          <w:lang w:val="en-GB"/>
        </w:rPr>
        <w:t>Students</w:t>
      </w:r>
    </w:p>
    <w:p w14:paraId="48221AC3" w14:textId="77777777" w:rsidR="0000092F" w:rsidRDefault="0000092F" w:rsidP="00E73DE3">
      <w:pPr>
        <w:spacing w:after="0"/>
        <w:ind w:left="720"/>
        <w:rPr>
          <w:sz w:val="20"/>
          <w:szCs w:val="20"/>
          <w:lang w:val="en-GB"/>
        </w:rPr>
      </w:pPr>
      <w:r>
        <w:rPr>
          <w:sz w:val="20"/>
          <w:szCs w:val="20"/>
          <w:lang w:val="en-GB"/>
        </w:rPr>
        <w:t>As well as a duty of care to employers, the risks to students of engaging in research and study in a workplace must be assessed by both the employer and HEI/FEC</w:t>
      </w:r>
      <w:r w:rsidR="003C7207">
        <w:rPr>
          <w:sz w:val="20"/>
          <w:szCs w:val="20"/>
          <w:lang w:val="en-GB"/>
        </w:rPr>
        <w:t xml:space="preserve"> and communicated to the student/s</w:t>
      </w:r>
      <w:r w:rsidR="00973BFE">
        <w:rPr>
          <w:sz w:val="20"/>
          <w:szCs w:val="20"/>
          <w:lang w:val="en-GB"/>
        </w:rPr>
        <w:t>.</w:t>
      </w:r>
    </w:p>
    <w:p w14:paraId="5F6995E9" w14:textId="77777777" w:rsidR="0000092F" w:rsidRDefault="0000092F" w:rsidP="00E73DE3">
      <w:pPr>
        <w:spacing w:after="0"/>
        <w:ind w:left="720"/>
        <w:rPr>
          <w:sz w:val="20"/>
          <w:szCs w:val="20"/>
          <w:lang w:val="en-GB"/>
        </w:rPr>
      </w:pPr>
      <w:r w:rsidRPr="00E831EB">
        <w:rPr>
          <w:sz w:val="20"/>
          <w:szCs w:val="20"/>
          <w:u w:val="single"/>
          <w:lang w:val="en-GB"/>
        </w:rPr>
        <w:t>Mitigation</w:t>
      </w:r>
      <w:r>
        <w:rPr>
          <w:sz w:val="20"/>
          <w:szCs w:val="20"/>
          <w:lang w:val="en-GB"/>
        </w:rPr>
        <w:t xml:space="preserve">: </w:t>
      </w:r>
      <w:r w:rsidR="00C77694">
        <w:rPr>
          <w:sz w:val="20"/>
          <w:szCs w:val="20"/>
          <w:lang w:val="en-GB"/>
        </w:rPr>
        <w:t xml:space="preserve">risk management should address issues of safety along with ensuring that the potential benefit to a student’s education of </w:t>
      </w:r>
      <w:r w:rsidR="003C7207">
        <w:rPr>
          <w:sz w:val="20"/>
          <w:szCs w:val="20"/>
          <w:lang w:val="en-GB"/>
        </w:rPr>
        <w:t xml:space="preserve">work based learning </w:t>
      </w:r>
      <w:r w:rsidR="00973BFE">
        <w:rPr>
          <w:sz w:val="20"/>
          <w:szCs w:val="20"/>
          <w:lang w:val="en-GB"/>
        </w:rPr>
        <w:t xml:space="preserve"> [</w:t>
      </w:r>
      <w:r w:rsidR="00C77694">
        <w:rPr>
          <w:sz w:val="20"/>
          <w:szCs w:val="20"/>
          <w:lang w:val="en-GB"/>
        </w:rPr>
        <w:t>WBL</w:t>
      </w:r>
      <w:r w:rsidR="00973BFE">
        <w:rPr>
          <w:sz w:val="20"/>
          <w:szCs w:val="20"/>
          <w:lang w:val="en-GB"/>
        </w:rPr>
        <w:t>]</w:t>
      </w:r>
      <w:r w:rsidR="00C77694">
        <w:rPr>
          <w:sz w:val="20"/>
          <w:szCs w:val="20"/>
          <w:lang w:val="en-GB"/>
        </w:rPr>
        <w:t xml:space="preserve"> can be delivered reliably for student/s at that location and be a</w:t>
      </w:r>
      <w:r w:rsidR="005E3829">
        <w:rPr>
          <w:sz w:val="20"/>
          <w:szCs w:val="20"/>
          <w:lang w:val="en-GB"/>
        </w:rPr>
        <w:t>n</w:t>
      </w:r>
      <w:r w:rsidR="00C77694">
        <w:rPr>
          <w:sz w:val="20"/>
          <w:szCs w:val="20"/>
          <w:lang w:val="en-GB"/>
        </w:rPr>
        <w:t xml:space="preserve"> experience consistent with their peer group. </w:t>
      </w:r>
      <w:r>
        <w:rPr>
          <w:sz w:val="20"/>
          <w:szCs w:val="20"/>
          <w:lang w:val="en-GB"/>
        </w:rPr>
        <w:t xml:space="preserve">HEI/FEC risk analysis should be shared with the employer so neither party overlooks a risk </w:t>
      </w:r>
      <w:r w:rsidR="00C77694">
        <w:rPr>
          <w:sz w:val="20"/>
          <w:szCs w:val="20"/>
          <w:lang w:val="en-GB"/>
        </w:rPr>
        <w:t>flagged by</w:t>
      </w:r>
      <w:r w:rsidR="0005037E">
        <w:rPr>
          <w:sz w:val="20"/>
          <w:szCs w:val="20"/>
          <w:lang w:val="en-GB"/>
        </w:rPr>
        <w:t xml:space="preserve"> the other</w:t>
      </w:r>
      <w:r>
        <w:rPr>
          <w:sz w:val="20"/>
          <w:szCs w:val="20"/>
          <w:lang w:val="en-GB"/>
        </w:rPr>
        <w:t xml:space="preserve">. </w:t>
      </w:r>
    </w:p>
    <w:p w14:paraId="70A8FB23" w14:textId="77777777" w:rsidR="00DF6332" w:rsidRDefault="00DF6332" w:rsidP="00DF6332">
      <w:pPr>
        <w:spacing w:after="0"/>
        <w:ind w:left="364"/>
        <w:rPr>
          <w:sz w:val="20"/>
          <w:szCs w:val="20"/>
          <w:lang w:val="en-GB"/>
        </w:rPr>
      </w:pPr>
    </w:p>
    <w:p w14:paraId="1DB75259" w14:textId="77777777" w:rsidR="003F53CD" w:rsidRPr="003849B8" w:rsidRDefault="003F53CD" w:rsidP="00E73DE3">
      <w:pPr>
        <w:pStyle w:val="ListParagraph"/>
        <w:numPr>
          <w:ilvl w:val="0"/>
          <w:numId w:val="7"/>
        </w:numPr>
        <w:tabs>
          <w:tab w:val="left" w:pos="378"/>
        </w:tabs>
        <w:spacing w:after="0"/>
        <w:rPr>
          <w:sz w:val="20"/>
          <w:szCs w:val="20"/>
          <w:u w:val="single"/>
          <w:lang w:val="en-GB"/>
        </w:rPr>
      </w:pPr>
      <w:r w:rsidRPr="003849B8">
        <w:rPr>
          <w:sz w:val="20"/>
          <w:szCs w:val="20"/>
          <w:u w:val="single"/>
          <w:lang w:val="en-GB"/>
        </w:rPr>
        <w:t>Balancing employer, learner and HEI/FEC benefits</w:t>
      </w:r>
    </w:p>
    <w:p w14:paraId="1CDED1B6" w14:textId="77777777" w:rsidR="003F53CD" w:rsidRPr="003849B8" w:rsidRDefault="003F53CD" w:rsidP="00E73DE3">
      <w:pPr>
        <w:tabs>
          <w:tab w:val="left" w:pos="378"/>
        </w:tabs>
        <w:spacing w:after="0"/>
        <w:ind w:left="720"/>
        <w:rPr>
          <w:sz w:val="20"/>
          <w:szCs w:val="20"/>
          <w:lang w:val="en-GB"/>
        </w:rPr>
      </w:pPr>
      <w:r w:rsidRPr="003849B8">
        <w:rPr>
          <w:sz w:val="20"/>
          <w:szCs w:val="20"/>
          <w:lang w:val="en-GB"/>
        </w:rPr>
        <w:t xml:space="preserve">The most successful employer engagement work brings benefits in equal measure </w:t>
      </w:r>
      <w:r w:rsidR="00DF6332">
        <w:rPr>
          <w:sz w:val="20"/>
          <w:szCs w:val="20"/>
          <w:lang w:val="en-GB"/>
        </w:rPr>
        <w:t>to all stakeholders and most importantly delivers these on time.</w:t>
      </w:r>
    </w:p>
    <w:p w14:paraId="2B20017E" w14:textId="77777777" w:rsidR="003F53CD" w:rsidRPr="003849B8" w:rsidRDefault="003F53CD" w:rsidP="00E73DE3">
      <w:pPr>
        <w:tabs>
          <w:tab w:val="left" w:pos="378"/>
        </w:tabs>
        <w:spacing w:after="0"/>
        <w:ind w:left="720"/>
        <w:rPr>
          <w:sz w:val="20"/>
          <w:szCs w:val="20"/>
          <w:lang w:val="en-GB"/>
        </w:rPr>
      </w:pPr>
      <w:r w:rsidRPr="003849B8">
        <w:rPr>
          <w:sz w:val="20"/>
          <w:szCs w:val="20"/>
          <w:u w:val="single"/>
          <w:lang w:val="en-GB"/>
        </w:rPr>
        <w:t>Mitigation</w:t>
      </w:r>
      <w:r w:rsidRPr="003849B8">
        <w:rPr>
          <w:sz w:val="20"/>
          <w:szCs w:val="20"/>
          <w:lang w:val="en-GB"/>
        </w:rPr>
        <w:t xml:space="preserve">: the expected and required outcomes must be formalised; this is especially important where student assessment or research delivery deadlines are involved - likewise </w:t>
      </w:r>
      <w:r w:rsidR="003849B8">
        <w:rPr>
          <w:sz w:val="20"/>
          <w:szCs w:val="20"/>
          <w:lang w:val="en-GB"/>
        </w:rPr>
        <w:t xml:space="preserve">mission critical </w:t>
      </w:r>
      <w:r w:rsidRPr="003849B8">
        <w:rPr>
          <w:sz w:val="20"/>
          <w:szCs w:val="20"/>
          <w:lang w:val="en-GB"/>
        </w:rPr>
        <w:t xml:space="preserve">employer requirements and constraints should be </w:t>
      </w:r>
      <w:r w:rsidR="003849B8" w:rsidRPr="003849B8">
        <w:rPr>
          <w:sz w:val="20"/>
          <w:szCs w:val="20"/>
          <w:lang w:val="en-GB"/>
        </w:rPr>
        <w:t>documented</w:t>
      </w:r>
      <w:r w:rsidRPr="003849B8">
        <w:rPr>
          <w:sz w:val="20"/>
          <w:szCs w:val="20"/>
          <w:lang w:val="en-GB"/>
        </w:rPr>
        <w:t xml:space="preserve">.  </w:t>
      </w:r>
    </w:p>
    <w:p w14:paraId="05E61877" w14:textId="77777777" w:rsidR="003F53CD" w:rsidRPr="003F53CD" w:rsidRDefault="003F53CD" w:rsidP="003F53CD">
      <w:pPr>
        <w:tabs>
          <w:tab w:val="left" w:pos="378"/>
        </w:tabs>
        <w:spacing w:after="0"/>
        <w:ind w:left="360"/>
        <w:rPr>
          <w:color w:val="FF0000"/>
          <w:sz w:val="20"/>
          <w:szCs w:val="20"/>
          <w:lang w:val="en-GB"/>
        </w:rPr>
      </w:pPr>
    </w:p>
    <w:p w14:paraId="674550F7" w14:textId="77777777" w:rsidR="00B9689C" w:rsidRPr="00A869DB" w:rsidRDefault="00B9689C" w:rsidP="00E73DE3">
      <w:pPr>
        <w:pStyle w:val="ListParagraph"/>
        <w:numPr>
          <w:ilvl w:val="0"/>
          <w:numId w:val="7"/>
        </w:numPr>
        <w:spacing w:after="0"/>
        <w:rPr>
          <w:sz w:val="20"/>
          <w:szCs w:val="20"/>
          <w:u w:val="single"/>
          <w:lang w:val="en-GB"/>
        </w:rPr>
      </w:pPr>
      <w:r w:rsidRPr="00A869DB">
        <w:rPr>
          <w:sz w:val="20"/>
          <w:szCs w:val="20"/>
          <w:u w:val="single"/>
          <w:lang w:val="en-GB"/>
        </w:rPr>
        <w:t>First Contact risks</w:t>
      </w:r>
    </w:p>
    <w:p w14:paraId="693FF55C" w14:textId="2BF2E918" w:rsidR="00526DE2" w:rsidRPr="00A869DB" w:rsidRDefault="001C2068" w:rsidP="00E73DE3">
      <w:pPr>
        <w:pStyle w:val="ListParagraph"/>
        <w:spacing w:after="0"/>
        <w:rPr>
          <w:sz w:val="20"/>
          <w:szCs w:val="20"/>
          <w:lang w:val="en-GB"/>
        </w:rPr>
      </w:pPr>
      <w:r>
        <w:rPr>
          <w:sz w:val="20"/>
          <w:szCs w:val="20"/>
          <w:lang w:val="en-GB"/>
        </w:rPr>
        <w:t>T</w:t>
      </w:r>
      <w:r w:rsidR="00526DE2" w:rsidRPr="00A869DB">
        <w:rPr>
          <w:sz w:val="20"/>
          <w:szCs w:val="20"/>
          <w:lang w:val="en-GB"/>
        </w:rPr>
        <w:t>he e</w:t>
      </w:r>
      <w:r w:rsidR="00B9689C" w:rsidRPr="00A869DB">
        <w:rPr>
          <w:sz w:val="20"/>
          <w:szCs w:val="20"/>
          <w:lang w:val="en-GB"/>
        </w:rPr>
        <w:t xml:space="preserve">mployer enters the </w:t>
      </w:r>
      <w:r w:rsidR="00526DE2" w:rsidRPr="00A869DB">
        <w:rPr>
          <w:sz w:val="20"/>
          <w:szCs w:val="20"/>
          <w:lang w:val="en-GB"/>
        </w:rPr>
        <w:t>‘</w:t>
      </w:r>
      <w:r w:rsidR="00B9689C" w:rsidRPr="00A869DB">
        <w:rPr>
          <w:sz w:val="20"/>
          <w:szCs w:val="20"/>
          <w:lang w:val="en-GB"/>
        </w:rPr>
        <w:t>wrong door</w:t>
      </w:r>
      <w:r w:rsidR="00526DE2" w:rsidRPr="00A869DB">
        <w:rPr>
          <w:sz w:val="20"/>
          <w:szCs w:val="20"/>
          <w:lang w:val="en-GB"/>
        </w:rPr>
        <w:t xml:space="preserve">’ of the HEI/FEC or worse still is directed to the wrong door. Many HEI/FECs are vast and complex organisations; however employers do expect those that work for them to be able to either talk knowledgably on behalf of the organisation or at least be able to pass them on to someone </w:t>
      </w:r>
      <w:r w:rsidR="00901367">
        <w:rPr>
          <w:sz w:val="20"/>
          <w:szCs w:val="20"/>
          <w:lang w:val="en-GB"/>
        </w:rPr>
        <w:t>who</w:t>
      </w:r>
      <w:r w:rsidR="00901367" w:rsidRPr="00A869DB">
        <w:rPr>
          <w:sz w:val="20"/>
          <w:szCs w:val="20"/>
          <w:lang w:val="en-GB"/>
        </w:rPr>
        <w:t xml:space="preserve"> </w:t>
      </w:r>
      <w:r w:rsidR="00526DE2" w:rsidRPr="00A869DB">
        <w:rPr>
          <w:sz w:val="20"/>
          <w:szCs w:val="20"/>
          <w:lang w:val="en-GB"/>
        </w:rPr>
        <w:t>can. Likewise those undertaking employer engagement work on behalf of an HEI/FEC are</w:t>
      </w:r>
      <w:r w:rsidR="00901367">
        <w:rPr>
          <w:sz w:val="20"/>
          <w:szCs w:val="20"/>
          <w:lang w:val="en-GB"/>
        </w:rPr>
        <w:t>,</w:t>
      </w:r>
      <w:r w:rsidR="00526DE2" w:rsidRPr="00A869DB">
        <w:rPr>
          <w:sz w:val="20"/>
          <w:szCs w:val="20"/>
          <w:lang w:val="en-GB"/>
        </w:rPr>
        <w:t xml:space="preserve"> for the employer concerned</w:t>
      </w:r>
      <w:r w:rsidR="00901367">
        <w:rPr>
          <w:sz w:val="20"/>
          <w:szCs w:val="20"/>
          <w:lang w:val="en-GB"/>
        </w:rPr>
        <w:t>,</w:t>
      </w:r>
      <w:r w:rsidR="00526DE2" w:rsidRPr="00A869DB">
        <w:rPr>
          <w:sz w:val="20"/>
          <w:szCs w:val="20"/>
          <w:lang w:val="en-GB"/>
        </w:rPr>
        <w:t xml:space="preserve"> a representative, </w:t>
      </w:r>
      <w:r w:rsidR="00901367">
        <w:rPr>
          <w:sz w:val="20"/>
          <w:szCs w:val="20"/>
          <w:lang w:val="en-GB"/>
        </w:rPr>
        <w:t>who</w:t>
      </w:r>
      <w:r w:rsidR="003C7207">
        <w:rPr>
          <w:sz w:val="20"/>
          <w:szCs w:val="20"/>
          <w:lang w:val="en-GB"/>
        </w:rPr>
        <w:t xml:space="preserve"> acts as a key contact for addressing</w:t>
      </w:r>
      <w:r w:rsidR="00526DE2" w:rsidRPr="00A869DB">
        <w:rPr>
          <w:sz w:val="20"/>
          <w:szCs w:val="20"/>
          <w:lang w:val="en-GB"/>
        </w:rPr>
        <w:t xml:space="preserve"> direct questions.</w:t>
      </w:r>
    </w:p>
    <w:p w14:paraId="55B4BE43" w14:textId="0E304CDC" w:rsidR="00526DE2" w:rsidRDefault="003C7207" w:rsidP="00E73DE3">
      <w:pPr>
        <w:pStyle w:val="ListParagraph"/>
        <w:spacing w:after="0"/>
        <w:rPr>
          <w:sz w:val="20"/>
          <w:szCs w:val="20"/>
          <w:lang w:val="en-GB"/>
        </w:rPr>
      </w:pPr>
      <w:r>
        <w:rPr>
          <w:sz w:val="20"/>
          <w:szCs w:val="20"/>
          <w:lang w:val="en-GB"/>
        </w:rPr>
        <w:lastRenderedPageBreak/>
        <w:t>The other</w:t>
      </w:r>
      <w:r w:rsidR="00526DE2" w:rsidRPr="00A869DB">
        <w:rPr>
          <w:sz w:val="20"/>
          <w:szCs w:val="20"/>
          <w:lang w:val="en-GB"/>
        </w:rPr>
        <w:t xml:space="preserve"> side of this issue</w:t>
      </w:r>
      <w:r>
        <w:rPr>
          <w:sz w:val="20"/>
          <w:szCs w:val="20"/>
          <w:lang w:val="en-GB"/>
        </w:rPr>
        <w:t xml:space="preserve"> </w:t>
      </w:r>
      <w:r w:rsidR="008A68D8">
        <w:rPr>
          <w:sz w:val="20"/>
          <w:szCs w:val="20"/>
          <w:lang w:val="en-GB"/>
        </w:rPr>
        <w:t xml:space="preserve">for </w:t>
      </w:r>
      <w:proofErr w:type="gramStart"/>
      <w:r w:rsidR="00526DE2" w:rsidRPr="00A869DB">
        <w:rPr>
          <w:sz w:val="20"/>
          <w:szCs w:val="20"/>
          <w:lang w:val="en-GB"/>
        </w:rPr>
        <w:t>those undertaking employer engagement work</w:t>
      </w:r>
      <w:proofErr w:type="gramEnd"/>
      <w:r w:rsidR="00526DE2" w:rsidRPr="00A869DB">
        <w:rPr>
          <w:sz w:val="20"/>
          <w:szCs w:val="20"/>
          <w:lang w:val="en-GB"/>
        </w:rPr>
        <w:t xml:space="preserve"> on behalf of an HEI/FEC</w:t>
      </w:r>
      <w:r w:rsidR="00F064BE">
        <w:rPr>
          <w:sz w:val="20"/>
          <w:szCs w:val="20"/>
          <w:lang w:val="en-GB"/>
        </w:rPr>
        <w:t>,</w:t>
      </w:r>
      <w:r w:rsidR="00526DE2" w:rsidRPr="00A869DB">
        <w:rPr>
          <w:sz w:val="20"/>
          <w:szCs w:val="20"/>
          <w:lang w:val="en-GB"/>
        </w:rPr>
        <w:t xml:space="preserve"> is to ensure you have made contact with </w:t>
      </w:r>
      <w:r w:rsidR="00A869DB" w:rsidRPr="00A869DB">
        <w:rPr>
          <w:sz w:val="20"/>
          <w:szCs w:val="20"/>
          <w:lang w:val="en-GB"/>
        </w:rPr>
        <w:t>all the staff required to</w:t>
      </w:r>
      <w:r w:rsidR="00526DE2" w:rsidRPr="00A869DB">
        <w:rPr>
          <w:sz w:val="20"/>
          <w:szCs w:val="20"/>
          <w:lang w:val="en-GB"/>
        </w:rPr>
        <w:t xml:space="preserve"> both organise and sign off activities with</w:t>
      </w:r>
      <w:r>
        <w:rPr>
          <w:sz w:val="20"/>
          <w:szCs w:val="20"/>
          <w:lang w:val="en-GB"/>
        </w:rPr>
        <w:t>in</w:t>
      </w:r>
      <w:r w:rsidR="00526DE2" w:rsidRPr="00A869DB">
        <w:rPr>
          <w:sz w:val="20"/>
          <w:szCs w:val="20"/>
          <w:lang w:val="en-GB"/>
        </w:rPr>
        <w:t xml:space="preserve"> the HEI/FEC.</w:t>
      </w:r>
      <w:r w:rsidR="00526DE2">
        <w:rPr>
          <w:sz w:val="20"/>
          <w:szCs w:val="20"/>
          <w:lang w:val="en-GB"/>
        </w:rPr>
        <w:t xml:space="preserve"> </w:t>
      </w:r>
    </w:p>
    <w:p w14:paraId="11F3E324" w14:textId="77777777" w:rsidR="00526DE2" w:rsidRDefault="00A869DB" w:rsidP="00E73DE3">
      <w:pPr>
        <w:pStyle w:val="ListParagraph"/>
        <w:spacing w:after="0"/>
        <w:rPr>
          <w:sz w:val="20"/>
          <w:szCs w:val="20"/>
          <w:highlight w:val="green"/>
          <w:lang w:val="en-GB"/>
        </w:rPr>
      </w:pPr>
      <w:r w:rsidRPr="003849B8">
        <w:rPr>
          <w:sz w:val="20"/>
          <w:szCs w:val="20"/>
          <w:u w:val="single"/>
          <w:lang w:val="en-GB"/>
        </w:rPr>
        <w:t>Mitigation</w:t>
      </w:r>
      <w:r w:rsidRPr="003849B8">
        <w:rPr>
          <w:sz w:val="20"/>
          <w:szCs w:val="20"/>
          <w:lang w:val="en-GB"/>
        </w:rPr>
        <w:t xml:space="preserve">: </w:t>
      </w:r>
      <w:r>
        <w:rPr>
          <w:sz w:val="20"/>
          <w:szCs w:val="20"/>
          <w:lang w:val="en-GB"/>
        </w:rPr>
        <w:t xml:space="preserve">HEI/FEC staff </w:t>
      </w:r>
      <w:r w:rsidR="00901367">
        <w:rPr>
          <w:sz w:val="20"/>
          <w:szCs w:val="20"/>
          <w:lang w:val="en-GB"/>
        </w:rPr>
        <w:t>need</w:t>
      </w:r>
      <w:r>
        <w:rPr>
          <w:sz w:val="20"/>
          <w:szCs w:val="20"/>
          <w:lang w:val="en-GB"/>
        </w:rPr>
        <w:t xml:space="preserve"> clear guidance as to what to do with unexpected employer contacts; what is the </w:t>
      </w:r>
      <w:r w:rsidRPr="00A869DB">
        <w:rPr>
          <w:sz w:val="20"/>
          <w:szCs w:val="20"/>
          <w:lang w:val="en-GB"/>
        </w:rPr>
        <w:t>protocol for handling or passing on the enquiry. Remember that you are that employer’s contact until they are successfully passed on. If you remain the contact</w:t>
      </w:r>
      <w:r w:rsidR="00901367">
        <w:rPr>
          <w:sz w:val="20"/>
          <w:szCs w:val="20"/>
          <w:lang w:val="en-GB"/>
        </w:rPr>
        <w:t>,</w:t>
      </w:r>
      <w:r w:rsidR="008A68D8">
        <w:rPr>
          <w:sz w:val="20"/>
          <w:szCs w:val="20"/>
          <w:lang w:val="en-GB"/>
        </w:rPr>
        <w:t xml:space="preserve"> </w:t>
      </w:r>
      <w:r w:rsidRPr="00A869DB">
        <w:rPr>
          <w:sz w:val="20"/>
          <w:szCs w:val="20"/>
          <w:lang w:val="en-GB"/>
        </w:rPr>
        <w:t>b</w:t>
      </w:r>
      <w:r w:rsidR="00526DE2" w:rsidRPr="00A869DB">
        <w:rPr>
          <w:sz w:val="20"/>
          <w:szCs w:val="20"/>
          <w:lang w:val="en-GB"/>
        </w:rPr>
        <w:t xml:space="preserve">e </w:t>
      </w:r>
      <w:r w:rsidRPr="00A869DB">
        <w:rPr>
          <w:sz w:val="20"/>
          <w:szCs w:val="20"/>
          <w:lang w:val="en-GB"/>
        </w:rPr>
        <w:t xml:space="preserve">clear with </w:t>
      </w:r>
      <w:r w:rsidR="001C2068">
        <w:rPr>
          <w:sz w:val="20"/>
          <w:szCs w:val="20"/>
          <w:lang w:val="en-GB"/>
        </w:rPr>
        <w:t xml:space="preserve">the </w:t>
      </w:r>
      <w:r w:rsidRPr="00A869DB">
        <w:rPr>
          <w:sz w:val="20"/>
          <w:szCs w:val="20"/>
          <w:lang w:val="en-GB"/>
        </w:rPr>
        <w:t xml:space="preserve">employer about your </w:t>
      </w:r>
      <w:r w:rsidR="00526DE2" w:rsidRPr="00A869DB">
        <w:rPr>
          <w:sz w:val="20"/>
          <w:szCs w:val="20"/>
          <w:lang w:val="en-GB"/>
        </w:rPr>
        <w:t>role and level of seniority</w:t>
      </w:r>
      <w:r w:rsidRPr="00A869DB">
        <w:rPr>
          <w:sz w:val="20"/>
          <w:szCs w:val="20"/>
          <w:lang w:val="en-GB"/>
        </w:rPr>
        <w:t xml:space="preserve"> - along with explaining who you will need to liaise with </w:t>
      </w:r>
      <w:r w:rsidR="00901367">
        <w:rPr>
          <w:sz w:val="20"/>
          <w:szCs w:val="20"/>
          <w:lang w:val="en-GB"/>
        </w:rPr>
        <w:t>in</w:t>
      </w:r>
      <w:r w:rsidRPr="00A869DB">
        <w:rPr>
          <w:sz w:val="20"/>
          <w:szCs w:val="20"/>
          <w:lang w:val="en-GB"/>
        </w:rPr>
        <w:t xml:space="preserve"> the HEI/FEC organisation </w:t>
      </w:r>
      <w:r w:rsidR="00901367">
        <w:rPr>
          <w:sz w:val="20"/>
          <w:szCs w:val="20"/>
          <w:lang w:val="en-GB"/>
        </w:rPr>
        <w:t>to get</w:t>
      </w:r>
      <w:r w:rsidR="008A68D8">
        <w:rPr>
          <w:sz w:val="20"/>
          <w:szCs w:val="20"/>
          <w:lang w:val="en-GB"/>
        </w:rPr>
        <w:t xml:space="preserve"> </w:t>
      </w:r>
      <w:r w:rsidRPr="00A869DB">
        <w:rPr>
          <w:sz w:val="20"/>
          <w:szCs w:val="20"/>
          <w:lang w:val="en-GB"/>
        </w:rPr>
        <w:t>sign</w:t>
      </w:r>
      <w:r w:rsidR="008A68D8">
        <w:rPr>
          <w:sz w:val="20"/>
          <w:szCs w:val="20"/>
          <w:lang w:val="en-GB"/>
        </w:rPr>
        <w:t>-</w:t>
      </w:r>
      <w:r w:rsidRPr="00A869DB">
        <w:rPr>
          <w:sz w:val="20"/>
          <w:szCs w:val="20"/>
          <w:lang w:val="en-GB"/>
        </w:rPr>
        <w:t xml:space="preserve">off for the proposed activity. </w:t>
      </w:r>
    </w:p>
    <w:p w14:paraId="545D848A" w14:textId="77777777" w:rsidR="00B9689C" w:rsidRPr="00A869DB" w:rsidRDefault="00B9689C" w:rsidP="00A869DB">
      <w:pPr>
        <w:spacing w:after="0"/>
        <w:rPr>
          <w:sz w:val="20"/>
          <w:szCs w:val="20"/>
          <w:lang w:val="en-GB"/>
        </w:rPr>
      </w:pPr>
    </w:p>
    <w:p w14:paraId="22B27F45" w14:textId="77777777" w:rsidR="00DF6332" w:rsidRPr="00DB58B1" w:rsidRDefault="003F53CD" w:rsidP="00E73DE3">
      <w:pPr>
        <w:pStyle w:val="ListParagraph"/>
        <w:numPr>
          <w:ilvl w:val="0"/>
          <w:numId w:val="7"/>
        </w:numPr>
        <w:spacing w:after="0"/>
        <w:rPr>
          <w:sz w:val="20"/>
          <w:szCs w:val="20"/>
          <w:u w:val="single"/>
          <w:lang w:val="en-GB"/>
        </w:rPr>
      </w:pPr>
      <w:r w:rsidRPr="00DB58B1">
        <w:rPr>
          <w:sz w:val="20"/>
          <w:szCs w:val="20"/>
          <w:u w:val="single"/>
          <w:lang w:val="en-GB"/>
        </w:rPr>
        <w:t>Expectation management</w:t>
      </w:r>
    </w:p>
    <w:p w14:paraId="34C94B71" w14:textId="42E33CCE" w:rsidR="008901AF" w:rsidRPr="00DB58B1" w:rsidRDefault="006C2BAC" w:rsidP="00E73DE3">
      <w:pPr>
        <w:spacing w:after="0"/>
        <w:ind w:left="720"/>
        <w:rPr>
          <w:sz w:val="20"/>
          <w:szCs w:val="20"/>
          <w:lang w:val="en-GB"/>
        </w:rPr>
      </w:pPr>
      <w:r w:rsidRPr="00DB58B1">
        <w:rPr>
          <w:sz w:val="20"/>
          <w:szCs w:val="20"/>
          <w:lang w:val="en-GB"/>
        </w:rPr>
        <w:t>Analysis of the long history of the HEI/FEC</w:t>
      </w:r>
      <w:r w:rsidRPr="00DB58B1">
        <w:rPr>
          <w:sz w:val="20"/>
          <w:szCs w:val="20"/>
          <w:u w:val="single"/>
          <w:lang w:val="en-GB"/>
        </w:rPr>
        <w:t xml:space="preserve"> </w:t>
      </w:r>
      <w:r w:rsidRPr="00DB58B1">
        <w:rPr>
          <w:sz w:val="20"/>
          <w:szCs w:val="20"/>
          <w:lang w:val="en-GB"/>
        </w:rPr>
        <w:t>employer engagement highlights two key risks. Firstly</w:t>
      </w:r>
      <w:r w:rsidR="008901AF" w:rsidRPr="00DB58B1">
        <w:rPr>
          <w:sz w:val="20"/>
          <w:szCs w:val="20"/>
          <w:lang w:val="en-GB"/>
        </w:rPr>
        <w:t>,</w:t>
      </w:r>
      <w:r w:rsidRPr="00DB58B1">
        <w:rPr>
          <w:sz w:val="20"/>
          <w:szCs w:val="20"/>
          <w:lang w:val="en-GB"/>
        </w:rPr>
        <w:t xml:space="preserve"> that too many inter-related ideas of collaboration are discussed</w:t>
      </w:r>
      <w:r w:rsidR="001C2068">
        <w:rPr>
          <w:sz w:val="20"/>
          <w:szCs w:val="20"/>
          <w:lang w:val="en-GB"/>
        </w:rPr>
        <w:t xml:space="preserve"> or </w:t>
      </w:r>
      <w:r w:rsidR="00DB58B1">
        <w:rPr>
          <w:sz w:val="20"/>
          <w:szCs w:val="20"/>
          <w:lang w:val="en-GB"/>
        </w:rPr>
        <w:t>started at the same time</w:t>
      </w:r>
      <w:r w:rsidR="00901367">
        <w:rPr>
          <w:sz w:val="20"/>
          <w:szCs w:val="20"/>
          <w:lang w:val="en-GB"/>
        </w:rPr>
        <w:t>,</w:t>
      </w:r>
      <w:r w:rsidR="00DB58B1">
        <w:rPr>
          <w:sz w:val="20"/>
          <w:szCs w:val="20"/>
          <w:lang w:val="en-GB"/>
        </w:rPr>
        <w:t xml:space="preserve"> which multiplies the risk. </w:t>
      </w:r>
      <w:r w:rsidR="008901AF" w:rsidRPr="00DB58B1">
        <w:rPr>
          <w:sz w:val="20"/>
          <w:szCs w:val="20"/>
          <w:lang w:val="en-GB"/>
        </w:rPr>
        <w:t>S</w:t>
      </w:r>
      <w:r w:rsidRPr="00DB58B1">
        <w:rPr>
          <w:sz w:val="20"/>
          <w:szCs w:val="20"/>
          <w:lang w:val="en-GB"/>
        </w:rPr>
        <w:t>econdly</w:t>
      </w:r>
      <w:r w:rsidR="00DB58B1">
        <w:rPr>
          <w:sz w:val="20"/>
          <w:szCs w:val="20"/>
          <w:lang w:val="en-GB"/>
        </w:rPr>
        <w:t>,</w:t>
      </w:r>
      <w:r w:rsidRPr="00DB58B1">
        <w:rPr>
          <w:sz w:val="20"/>
          <w:szCs w:val="20"/>
          <w:lang w:val="en-GB"/>
        </w:rPr>
        <w:t xml:space="preserve"> that there </w:t>
      </w:r>
      <w:r w:rsidR="004612CD" w:rsidRPr="00DB58B1">
        <w:rPr>
          <w:sz w:val="20"/>
          <w:szCs w:val="20"/>
          <w:lang w:val="en-GB"/>
        </w:rPr>
        <w:t xml:space="preserve">is frustration from employers </w:t>
      </w:r>
      <w:r w:rsidR="008901AF" w:rsidRPr="00DB58B1">
        <w:rPr>
          <w:sz w:val="20"/>
          <w:szCs w:val="20"/>
          <w:lang w:val="en-GB"/>
        </w:rPr>
        <w:t>over the speed, format and timing of the follow up / response from the HEI/FEC</w:t>
      </w:r>
      <w:r w:rsidR="004612CD" w:rsidRPr="00DB58B1">
        <w:rPr>
          <w:sz w:val="20"/>
          <w:szCs w:val="20"/>
          <w:lang w:val="en-GB"/>
        </w:rPr>
        <w:t xml:space="preserve">. </w:t>
      </w:r>
    </w:p>
    <w:p w14:paraId="295FEB92" w14:textId="77777777" w:rsidR="00DF6332" w:rsidRDefault="008901AF" w:rsidP="00E73DE3">
      <w:pPr>
        <w:spacing w:after="0"/>
        <w:ind w:left="720"/>
        <w:rPr>
          <w:sz w:val="20"/>
          <w:szCs w:val="20"/>
          <w:lang w:val="en-GB"/>
        </w:rPr>
      </w:pPr>
      <w:r w:rsidRPr="00DB58B1">
        <w:rPr>
          <w:sz w:val="20"/>
          <w:szCs w:val="20"/>
          <w:u w:val="single"/>
          <w:lang w:val="en-GB"/>
        </w:rPr>
        <w:t>Mitigation</w:t>
      </w:r>
      <w:r w:rsidRPr="00DB58B1">
        <w:rPr>
          <w:sz w:val="20"/>
          <w:szCs w:val="20"/>
          <w:lang w:val="en-GB"/>
        </w:rPr>
        <w:t xml:space="preserve">: the </w:t>
      </w:r>
      <w:r w:rsidR="003C7207">
        <w:rPr>
          <w:sz w:val="20"/>
          <w:szCs w:val="20"/>
          <w:lang w:val="en-GB"/>
        </w:rPr>
        <w:t xml:space="preserve">structure </w:t>
      </w:r>
      <w:r w:rsidRPr="00DB58B1">
        <w:rPr>
          <w:sz w:val="20"/>
          <w:szCs w:val="20"/>
          <w:lang w:val="en-GB"/>
        </w:rPr>
        <w:t>of the academic</w:t>
      </w:r>
      <w:r w:rsidR="003C7207">
        <w:rPr>
          <w:sz w:val="20"/>
          <w:szCs w:val="20"/>
          <w:lang w:val="en-GB"/>
        </w:rPr>
        <w:t xml:space="preserve"> cycle</w:t>
      </w:r>
      <w:r w:rsidRPr="00DB58B1">
        <w:rPr>
          <w:sz w:val="20"/>
          <w:szCs w:val="20"/>
          <w:lang w:val="en-GB"/>
        </w:rPr>
        <w:t xml:space="preserve"> and how teaching and research work fits within this </w:t>
      </w:r>
      <w:r w:rsidR="004612CD" w:rsidRPr="00DB58B1">
        <w:rPr>
          <w:sz w:val="20"/>
          <w:szCs w:val="20"/>
          <w:lang w:val="en-GB"/>
        </w:rPr>
        <w:t>need</w:t>
      </w:r>
      <w:r w:rsidR="00901367">
        <w:rPr>
          <w:sz w:val="20"/>
          <w:szCs w:val="20"/>
          <w:lang w:val="en-GB"/>
        </w:rPr>
        <w:t>s to be</w:t>
      </w:r>
      <w:r w:rsidR="004612CD" w:rsidRPr="00DB58B1">
        <w:rPr>
          <w:sz w:val="20"/>
          <w:szCs w:val="20"/>
          <w:lang w:val="en-GB"/>
        </w:rPr>
        <w:t xml:space="preserve"> </w:t>
      </w:r>
      <w:r w:rsidR="00901367" w:rsidRPr="00DB58B1">
        <w:rPr>
          <w:sz w:val="20"/>
          <w:szCs w:val="20"/>
          <w:lang w:val="en-GB"/>
        </w:rPr>
        <w:t>explain</w:t>
      </w:r>
      <w:r w:rsidR="00901367">
        <w:rPr>
          <w:sz w:val="20"/>
          <w:szCs w:val="20"/>
          <w:lang w:val="en-GB"/>
        </w:rPr>
        <w:t>ed</w:t>
      </w:r>
      <w:r w:rsidR="00901367" w:rsidRPr="00DB58B1">
        <w:rPr>
          <w:sz w:val="20"/>
          <w:szCs w:val="20"/>
          <w:lang w:val="en-GB"/>
        </w:rPr>
        <w:t xml:space="preserve"> </w:t>
      </w:r>
      <w:r w:rsidR="004612CD" w:rsidRPr="00DB58B1">
        <w:rPr>
          <w:sz w:val="20"/>
          <w:szCs w:val="20"/>
          <w:lang w:val="en-GB"/>
        </w:rPr>
        <w:t xml:space="preserve">to employers e.g. student projects run between set dates. Those undertaking employer engagement work on behalf of an HEI/FEC should be familiar </w:t>
      </w:r>
      <w:r w:rsidR="00901367">
        <w:rPr>
          <w:sz w:val="20"/>
          <w:szCs w:val="20"/>
          <w:lang w:val="en-GB"/>
        </w:rPr>
        <w:t xml:space="preserve">with the </w:t>
      </w:r>
      <w:r w:rsidR="004612CD" w:rsidRPr="00DB58B1">
        <w:rPr>
          <w:sz w:val="20"/>
          <w:szCs w:val="20"/>
          <w:lang w:val="en-GB"/>
        </w:rPr>
        <w:t>processes involved in agreeing / signing off activities</w:t>
      </w:r>
      <w:r w:rsidR="003C7207">
        <w:rPr>
          <w:sz w:val="20"/>
          <w:szCs w:val="20"/>
          <w:lang w:val="en-GB"/>
        </w:rPr>
        <w:t xml:space="preserve"> </w:t>
      </w:r>
      <w:r w:rsidR="008F471A">
        <w:rPr>
          <w:sz w:val="20"/>
          <w:szCs w:val="20"/>
          <w:lang w:val="en-GB"/>
        </w:rPr>
        <w:t>identifying</w:t>
      </w:r>
      <w:r w:rsidR="004612CD" w:rsidRPr="00DB58B1">
        <w:rPr>
          <w:sz w:val="20"/>
          <w:szCs w:val="20"/>
          <w:lang w:val="en-GB"/>
        </w:rPr>
        <w:t xml:space="preserve"> who is responsible and what time</w:t>
      </w:r>
      <w:r w:rsidR="00DB58B1">
        <w:rPr>
          <w:sz w:val="20"/>
          <w:szCs w:val="20"/>
          <w:lang w:val="en-GB"/>
        </w:rPr>
        <w:t>scales</w:t>
      </w:r>
      <w:r w:rsidR="003C7207">
        <w:rPr>
          <w:sz w:val="20"/>
          <w:szCs w:val="20"/>
          <w:lang w:val="en-GB"/>
        </w:rPr>
        <w:t xml:space="preserve"> are</w:t>
      </w:r>
      <w:r w:rsidR="00DB58B1">
        <w:rPr>
          <w:sz w:val="20"/>
          <w:szCs w:val="20"/>
          <w:lang w:val="en-GB"/>
        </w:rPr>
        <w:t xml:space="preserve"> involved</w:t>
      </w:r>
      <w:r w:rsidR="00901367">
        <w:rPr>
          <w:sz w:val="20"/>
          <w:szCs w:val="20"/>
          <w:lang w:val="en-GB"/>
        </w:rPr>
        <w:t>,</w:t>
      </w:r>
      <w:r w:rsidR="00DB58B1">
        <w:rPr>
          <w:sz w:val="20"/>
          <w:szCs w:val="20"/>
          <w:lang w:val="en-GB"/>
        </w:rPr>
        <w:t xml:space="preserve"> </w:t>
      </w:r>
      <w:r w:rsidR="004612CD" w:rsidRPr="00DB58B1">
        <w:rPr>
          <w:sz w:val="20"/>
          <w:szCs w:val="20"/>
          <w:lang w:val="en-GB"/>
        </w:rPr>
        <w:t xml:space="preserve">so </w:t>
      </w:r>
      <w:r w:rsidR="001C2068">
        <w:rPr>
          <w:sz w:val="20"/>
          <w:szCs w:val="20"/>
          <w:lang w:val="en-GB"/>
        </w:rPr>
        <w:t xml:space="preserve">that </w:t>
      </w:r>
      <w:r w:rsidR="004612CD" w:rsidRPr="00DB58B1">
        <w:rPr>
          <w:sz w:val="20"/>
          <w:szCs w:val="20"/>
          <w:lang w:val="en-GB"/>
        </w:rPr>
        <w:t xml:space="preserve">employers can be </w:t>
      </w:r>
      <w:r w:rsidR="00DB58B1">
        <w:rPr>
          <w:sz w:val="20"/>
          <w:szCs w:val="20"/>
          <w:lang w:val="en-GB"/>
        </w:rPr>
        <w:t xml:space="preserve">fully </w:t>
      </w:r>
      <w:r w:rsidR="004612CD" w:rsidRPr="00DB58B1">
        <w:rPr>
          <w:sz w:val="20"/>
          <w:szCs w:val="20"/>
          <w:lang w:val="en-GB"/>
        </w:rPr>
        <w:t>briefed.</w:t>
      </w:r>
      <w:r w:rsidR="004612CD">
        <w:rPr>
          <w:sz w:val="20"/>
          <w:szCs w:val="20"/>
          <w:lang w:val="en-GB"/>
        </w:rPr>
        <w:t xml:space="preserve"> </w:t>
      </w:r>
    </w:p>
    <w:p w14:paraId="5FDCF862" w14:textId="77777777" w:rsidR="008901AF" w:rsidRPr="00A869DB" w:rsidRDefault="008901AF" w:rsidP="00DF6332">
      <w:pPr>
        <w:spacing w:after="0"/>
        <w:rPr>
          <w:sz w:val="20"/>
          <w:szCs w:val="20"/>
          <w:u w:val="single"/>
          <w:lang w:val="en-GB"/>
        </w:rPr>
      </w:pPr>
    </w:p>
    <w:p w14:paraId="3B31B838" w14:textId="77777777" w:rsidR="00CD7B9B" w:rsidRPr="00A869DB" w:rsidRDefault="003F53CD" w:rsidP="00E73DE3">
      <w:pPr>
        <w:pStyle w:val="ListParagraph"/>
        <w:numPr>
          <w:ilvl w:val="0"/>
          <w:numId w:val="7"/>
        </w:numPr>
        <w:spacing w:after="0"/>
        <w:rPr>
          <w:sz w:val="20"/>
          <w:szCs w:val="20"/>
          <w:u w:val="single"/>
          <w:lang w:val="en-GB"/>
        </w:rPr>
      </w:pPr>
      <w:r w:rsidRPr="00A869DB">
        <w:rPr>
          <w:sz w:val="20"/>
          <w:szCs w:val="20"/>
          <w:u w:val="single"/>
          <w:lang w:val="en-GB"/>
        </w:rPr>
        <w:t>Relationship management risks</w:t>
      </w:r>
    </w:p>
    <w:p w14:paraId="7D751667" w14:textId="77777777" w:rsidR="005E3829" w:rsidRDefault="0053455E" w:rsidP="00E73DE3">
      <w:pPr>
        <w:spacing w:after="0"/>
        <w:ind w:left="720"/>
        <w:rPr>
          <w:sz w:val="20"/>
          <w:szCs w:val="20"/>
          <w:lang w:val="en-GB"/>
        </w:rPr>
      </w:pPr>
      <w:r w:rsidRPr="00A869DB">
        <w:rPr>
          <w:sz w:val="20"/>
          <w:szCs w:val="20"/>
          <w:lang w:val="en-GB"/>
        </w:rPr>
        <w:t>Ideally employer engagement work should be a relationship not an event</w:t>
      </w:r>
      <w:r w:rsidR="00901367">
        <w:rPr>
          <w:sz w:val="20"/>
          <w:szCs w:val="20"/>
          <w:lang w:val="en-GB"/>
        </w:rPr>
        <w:t>;</w:t>
      </w:r>
      <w:r w:rsidR="00901367" w:rsidRPr="00A869DB">
        <w:rPr>
          <w:sz w:val="20"/>
          <w:szCs w:val="20"/>
          <w:lang w:val="en-GB"/>
        </w:rPr>
        <w:t xml:space="preserve"> </w:t>
      </w:r>
      <w:r w:rsidRPr="00A869DB">
        <w:rPr>
          <w:sz w:val="20"/>
          <w:szCs w:val="20"/>
          <w:lang w:val="en-GB"/>
        </w:rPr>
        <w:t xml:space="preserve">in this way time and effort </w:t>
      </w:r>
      <w:r w:rsidR="00DB58B1" w:rsidRPr="00A869DB">
        <w:rPr>
          <w:sz w:val="20"/>
          <w:szCs w:val="20"/>
          <w:lang w:val="en-GB"/>
        </w:rPr>
        <w:t xml:space="preserve">spent on initial relationship set up pays off over time. </w:t>
      </w:r>
      <w:r w:rsidR="003F53CD" w:rsidRPr="00A869DB">
        <w:rPr>
          <w:sz w:val="20"/>
          <w:szCs w:val="20"/>
          <w:lang w:val="en-GB"/>
        </w:rPr>
        <w:t xml:space="preserve">Common issues </w:t>
      </w:r>
      <w:r w:rsidR="00DB58B1" w:rsidRPr="00A869DB">
        <w:rPr>
          <w:sz w:val="20"/>
          <w:szCs w:val="20"/>
          <w:lang w:val="en-GB"/>
        </w:rPr>
        <w:t xml:space="preserve">involve </w:t>
      </w:r>
      <w:r w:rsidR="003F53CD" w:rsidRPr="00A869DB">
        <w:rPr>
          <w:sz w:val="20"/>
          <w:szCs w:val="20"/>
          <w:lang w:val="en-GB"/>
        </w:rPr>
        <w:t>confusion</w:t>
      </w:r>
      <w:r w:rsidR="00DB58B1" w:rsidRPr="00A869DB">
        <w:rPr>
          <w:sz w:val="20"/>
          <w:szCs w:val="20"/>
          <w:lang w:val="en-GB"/>
        </w:rPr>
        <w:t xml:space="preserve"> over deliver</w:t>
      </w:r>
      <w:r w:rsidR="00901367">
        <w:rPr>
          <w:sz w:val="20"/>
          <w:szCs w:val="20"/>
          <w:lang w:val="en-GB"/>
        </w:rPr>
        <w:t>y</w:t>
      </w:r>
      <w:r w:rsidR="00DB58B1" w:rsidRPr="00A869DB">
        <w:rPr>
          <w:sz w:val="20"/>
          <w:szCs w:val="20"/>
          <w:lang w:val="en-GB"/>
        </w:rPr>
        <w:t xml:space="preserve"> or timing expectations </w:t>
      </w:r>
      <w:r w:rsidR="00901367">
        <w:rPr>
          <w:sz w:val="20"/>
          <w:szCs w:val="20"/>
          <w:lang w:val="en-GB"/>
        </w:rPr>
        <w:t>and/</w:t>
      </w:r>
      <w:r w:rsidR="00DB58B1" w:rsidRPr="00A869DB">
        <w:rPr>
          <w:sz w:val="20"/>
          <w:szCs w:val="20"/>
          <w:lang w:val="en-GB"/>
        </w:rPr>
        <w:t xml:space="preserve">or communication breakdowns. </w:t>
      </w:r>
      <w:r w:rsidR="00B9689C" w:rsidRPr="00A869DB">
        <w:rPr>
          <w:sz w:val="20"/>
          <w:szCs w:val="20"/>
          <w:lang w:val="en-GB"/>
        </w:rPr>
        <w:t>C</w:t>
      </w:r>
      <w:r w:rsidR="00DB58B1" w:rsidRPr="00A869DB">
        <w:rPr>
          <w:sz w:val="20"/>
          <w:szCs w:val="20"/>
          <w:lang w:val="en-GB"/>
        </w:rPr>
        <w:t xml:space="preserve">ommon causes include: </w:t>
      </w:r>
    </w:p>
    <w:p w14:paraId="0FE97A5D" w14:textId="77777777" w:rsidR="005E3829" w:rsidRDefault="00B9689C" w:rsidP="00E73DE3">
      <w:pPr>
        <w:spacing w:after="0"/>
        <w:ind w:left="1090"/>
        <w:rPr>
          <w:sz w:val="20"/>
          <w:szCs w:val="20"/>
          <w:lang w:val="en-GB"/>
        </w:rPr>
      </w:pPr>
      <w:r w:rsidRPr="00A869DB">
        <w:rPr>
          <w:sz w:val="20"/>
          <w:szCs w:val="20"/>
          <w:lang w:val="en-GB"/>
        </w:rPr>
        <w:t>[</w:t>
      </w:r>
      <w:proofErr w:type="spellStart"/>
      <w:r w:rsidRPr="00A869DB">
        <w:rPr>
          <w:sz w:val="20"/>
          <w:szCs w:val="20"/>
          <w:lang w:val="en-GB"/>
        </w:rPr>
        <w:t>i</w:t>
      </w:r>
      <w:proofErr w:type="spellEnd"/>
      <w:r w:rsidRPr="00A869DB">
        <w:rPr>
          <w:sz w:val="20"/>
          <w:szCs w:val="20"/>
          <w:lang w:val="en-GB"/>
        </w:rPr>
        <w:t xml:space="preserve">] </w:t>
      </w:r>
      <w:r w:rsidR="008F471A">
        <w:rPr>
          <w:sz w:val="20"/>
          <w:szCs w:val="20"/>
          <w:lang w:val="en-GB"/>
        </w:rPr>
        <w:t>t</w:t>
      </w:r>
      <w:r w:rsidR="00DB58B1" w:rsidRPr="00A869DB">
        <w:rPr>
          <w:sz w:val="20"/>
          <w:szCs w:val="20"/>
          <w:lang w:val="en-GB"/>
        </w:rPr>
        <w:t>hose central to the relationship get side tracked after the init</w:t>
      </w:r>
      <w:r w:rsidR="008F471A">
        <w:rPr>
          <w:sz w:val="20"/>
          <w:szCs w:val="20"/>
          <w:lang w:val="en-GB"/>
        </w:rPr>
        <w:t>ial effort has been undertaken</w:t>
      </w:r>
    </w:p>
    <w:p w14:paraId="0B07E887" w14:textId="00A1CE75" w:rsidR="005E3829" w:rsidRDefault="00B9689C" w:rsidP="00E73DE3">
      <w:pPr>
        <w:spacing w:after="0"/>
        <w:ind w:left="1090"/>
        <w:rPr>
          <w:sz w:val="20"/>
          <w:szCs w:val="20"/>
          <w:lang w:val="en-GB"/>
        </w:rPr>
      </w:pPr>
      <w:r w:rsidRPr="00A869DB">
        <w:rPr>
          <w:sz w:val="20"/>
          <w:szCs w:val="20"/>
          <w:lang w:val="en-GB"/>
        </w:rPr>
        <w:t xml:space="preserve">[ii] </w:t>
      </w:r>
      <w:proofErr w:type="gramStart"/>
      <w:r w:rsidR="008F471A">
        <w:rPr>
          <w:sz w:val="20"/>
          <w:szCs w:val="20"/>
          <w:lang w:val="en-GB"/>
        </w:rPr>
        <w:t>t</w:t>
      </w:r>
      <w:r w:rsidR="00DB58B1" w:rsidRPr="00A869DB">
        <w:rPr>
          <w:sz w:val="20"/>
          <w:szCs w:val="20"/>
          <w:lang w:val="en-GB"/>
        </w:rPr>
        <w:t>hose</w:t>
      </w:r>
      <w:proofErr w:type="gramEnd"/>
      <w:r w:rsidR="00DB58B1" w:rsidRPr="00A869DB">
        <w:rPr>
          <w:sz w:val="20"/>
          <w:szCs w:val="20"/>
          <w:lang w:val="en-GB"/>
        </w:rPr>
        <w:t xml:space="preserve"> central to the relationship mov</w:t>
      </w:r>
      <w:r w:rsidR="001C2068">
        <w:rPr>
          <w:sz w:val="20"/>
          <w:szCs w:val="20"/>
          <w:lang w:val="en-GB"/>
        </w:rPr>
        <w:t>e</w:t>
      </w:r>
      <w:r w:rsidR="00DB58B1" w:rsidRPr="00A869DB">
        <w:rPr>
          <w:sz w:val="20"/>
          <w:szCs w:val="20"/>
          <w:lang w:val="en-GB"/>
        </w:rPr>
        <w:t xml:space="preserve"> on to other roles / jobs and the employer engagement work </w:t>
      </w:r>
      <w:r w:rsidR="001C2068">
        <w:rPr>
          <w:sz w:val="20"/>
          <w:szCs w:val="20"/>
          <w:lang w:val="en-GB"/>
        </w:rPr>
        <w:t xml:space="preserve">is </w:t>
      </w:r>
      <w:r w:rsidR="00DB58B1" w:rsidRPr="00A869DB">
        <w:rPr>
          <w:sz w:val="20"/>
          <w:szCs w:val="20"/>
          <w:lang w:val="en-GB"/>
        </w:rPr>
        <w:t xml:space="preserve">not </w:t>
      </w:r>
      <w:r w:rsidRPr="00A869DB">
        <w:rPr>
          <w:sz w:val="20"/>
          <w:szCs w:val="20"/>
          <w:lang w:val="en-GB"/>
        </w:rPr>
        <w:t>be passe</w:t>
      </w:r>
      <w:r w:rsidR="008F471A">
        <w:rPr>
          <w:sz w:val="20"/>
          <w:szCs w:val="20"/>
          <w:lang w:val="en-GB"/>
        </w:rPr>
        <w:t>d on as part of a job handover</w:t>
      </w:r>
    </w:p>
    <w:p w14:paraId="497032FF" w14:textId="5A7A1952" w:rsidR="005E3829" w:rsidRDefault="00B9689C" w:rsidP="00E73DE3">
      <w:pPr>
        <w:spacing w:after="0"/>
        <w:ind w:left="1090"/>
        <w:rPr>
          <w:sz w:val="20"/>
          <w:szCs w:val="20"/>
          <w:lang w:val="en-GB"/>
        </w:rPr>
      </w:pPr>
      <w:r w:rsidRPr="00A869DB">
        <w:rPr>
          <w:sz w:val="20"/>
          <w:szCs w:val="20"/>
          <w:lang w:val="en-GB"/>
        </w:rPr>
        <w:t xml:space="preserve">[iii] </w:t>
      </w:r>
      <w:proofErr w:type="gramStart"/>
      <w:r w:rsidR="008F471A">
        <w:rPr>
          <w:sz w:val="20"/>
          <w:szCs w:val="20"/>
          <w:lang w:val="en-GB"/>
        </w:rPr>
        <w:t>t</w:t>
      </w:r>
      <w:r w:rsidRPr="00A869DB">
        <w:rPr>
          <w:sz w:val="20"/>
          <w:szCs w:val="20"/>
          <w:lang w:val="en-GB"/>
        </w:rPr>
        <w:t>hose</w:t>
      </w:r>
      <w:proofErr w:type="gramEnd"/>
      <w:r w:rsidRPr="00A869DB">
        <w:rPr>
          <w:sz w:val="20"/>
          <w:szCs w:val="20"/>
          <w:lang w:val="en-GB"/>
        </w:rPr>
        <w:t xml:space="preserve"> central to the relationship</w:t>
      </w:r>
      <w:r w:rsidR="001C2068">
        <w:rPr>
          <w:sz w:val="20"/>
          <w:szCs w:val="20"/>
          <w:lang w:val="en-GB"/>
        </w:rPr>
        <w:t xml:space="preserve"> do</w:t>
      </w:r>
      <w:r w:rsidRPr="00A869DB">
        <w:rPr>
          <w:sz w:val="20"/>
          <w:szCs w:val="20"/>
          <w:lang w:val="en-GB"/>
        </w:rPr>
        <w:t xml:space="preserve"> not effectively </w:t>
      </w:r>
      <w:r w:rsidR="00B46441">
        <w:rPr>
          <w:sz w:val="20"/>
          <w:szCs w:val="20"/>
          <w:lang w:val="en-GB"/>
        </w:rPr>
        <w:t>communicate</w:t>
      </w:r>
      <w:r w:rsidR="001C2068" w:rsidRPr="00A869DB">
        <w:rPr>
          <w:sz w:val="20"/>
          <w:szCs w:val="20"/>
          <w:lang w:val="en-GB"/>
        </w:rPr>
        <w:t xml:space="preserve"> </w:t>
      </w:r>
      <w:r w:rsidRPr="00A869DB">
        <w:rPr>
          <w:sz w:val="20"/>
          <w:szCs w:val="20"/>
          <w:lang w:val="en-GB"/>
        </w:rPr>
        <w:t>the requirements and impact to oth</w:t>
      </w:r>
      <w:r w:rsidR="008F471A">
        <w:rPr>
          <w:sz w:val="20"/>
          <w:szCs w:val="20"/>
          <w:lang w:val="en-GB"/>
        </w:rPr>
        <w:t>er staff in their organisation</w:t>
      </w:r>
    </w:p>
    <w:p w14:paraId="70614410" w14:textId="77777777" w:rsidR="00DB58B1" w:rsidRPr="00A869DB" w:rsidRDefault="00B9689C" w:rsidP="00E73DE3">
      <w:pPr>
        <w:spacing w:after="0"/>
        <w:ind w:left="1090"/>
        <w:rPr>
          <w:sz w:val="20"/>
          <w:szCs w:val="20"/>
          <w:lang w:val="en-GB"/>
        </w:rPr>
      </w:pPr>
      <w:r w:rsidRPr="00A869DB">
        <w:rPr>
          <w:sz w:val="20"/>
          <w:szCs w:val="20"/>
          <w:lang w:val="en-GB"/>
        </w:rPr>
        <w:t xml:space="preserve">[iv] </w:t>
      </w:r>
      <w:r w:rsidR="008F471A">
        <w:rPr>
          <w:sz w:val="20"/>
          <w:szCs w:val="20"/>
          <w:lang w:val="en-GB"/>
        </w:rPr>
        <w:t>a</w:t>
      </w:r>
      <w:r w:rsidRPr="00A869DB">
        <w:rPr>
          <w:sz w:val="20"/>
          <w:szCs w:val="20"/>
          <w:lang w:val="en-GB"/>
        </w:rPr>
        <w:t>greed activities happen annually, and therefore important details are forgotten from year to year</w:t>
      </w:r>
    </w:p>
    <w:p w14:paraId="5E7D1B70" w14:textId="77777777" w:rsidR="00011639" w:rsidRDefault="00B9689C" w:rsidP="00E73DE3">
      <w:pPr>
        <w:spacing w:after="0"/>
        <w:ind w:left="720"/>
        <w:rPr>
          <w:sz w:val="20"/>
          <w:szCs w:val="20"/>
          <w:lang w:val="en-GB"/>
        </w:rPr>
      </w:pPr>
      <w:r w:rsidRPr="00A869DB">
        <w:rPr>
          <w:sz w:val="20"/>
          <w:szCs w:val="20"/>
          <w:u w:val="single"/>
          <w:lang w:val="en-GB"/>
        </w:rPr>
        <w:t>Mitigation</w:t>
      </w:r>
      <w:r w:rsidRPr="00A869DB">
        <w:rPr>
          <w:sz w:val="20"/>
          <w:szCs w:val="20"/>
          <w:lang w:val="en-GB"/>
        </w:rPr>
        <w:t>: employer engagement relationship management is important time</w:t>
      </w:r>
      <w:r>
        <w:rPr>
          <w:sz w:val="20"/>
          <w:szCs w:val="20"/>
          <w:lang w:val="en-GB"/>
        </w:rPr>
        <w:t xml:space="preserve"> consuming </w:t>
      </w:r>
      <w:r w:rsidR="00E911D5">
        <w:rPr>
          <w:sz w:val="20"/>
          <w:szCs w:val="20"/>
          <w:lang w:val="en-GB"/>
        </w:rPr>
        <w:t>wor</w:t>
      </w:r>
      <w:r>
        <w:rPr>
          <w:sz w:val="20"/>
          <w:szCs w:val="20"/>
          <w:lang w:val="en-GB"/>
        </w:rPr>
        <w:t xml:space="preserve">k and needs to be factored into workload calculations.  </w:t>
      </w:r>
      <w:r w:rsidR="00E911D5">
        <w:rPr>
          <w:sz w:val="20"/>
          <w:szCs w:val="20"/>
          <w:lang w:val="en-GB"/>
        </w:rPr>
        <w:t>Doing this work well maintains good w</w:t>
      </w:r>
      <w:r w:rsidR="003C7207">
        <w:rPr>
          <w:sz w:val="20"/>
          <w:szCs w:val="20"/>
          <w:lang w:val="en-GB"/>
        </w:rPr>
        <w:t>i</w:t>
      </w:r>
      <w:r w:rsidR="00E911D5">
        <w:rPr>
          <w:sz w:val="20"/>
          <w:szCs w:val="20"/>
          <w:lang w:val="en-GB"/>
        </w:rPr>
        <w:t xml:space="preserve">ll and respect for the HEI/FEC from the employer and in turn maintains commitment to the relationship. </w:t>
      </w:r>
      <w:r>
        <w:rPr>
          <w:sz w:val="20"/>
          <w:szCs w:val="20"/>
          <w:lang w:val="en-GB"/>
        </w:rPr>
        <w:t xml:space="preserve">While relationships help things run smoothly, documented plans / agreements are vital to facilitate others to become involved in managing and supporting the work. </w:t>
      </w:r>
    </w:p>
    <w:p w14:paraId="00927AD2" w14:textId="77777777" w:rsidR="00011639" w:rsidRDefault="00011639" w:rsidP="00011639">
      <w:pPr>
        <w:spacing w:after="0"/>
        <w:ind w:left="350"/>
        <w:rPr>
          <w:sz w:val="20"/>
          <w:szCs w:val="20"/>
          <w:lang w:val="en-GB"/>
        </w:rPr>
      </w:pPr>
    </w:p>
    <w:p w14:paraId="0E7E89AF" w14:textId="77777777" w:rsidR="00372CD6" w:rsidRDefault="00011639" w:rsidP="00E73DE3">
      <w:pPr>
        <w:pStyle w:val="ListParagraph"/>
        <w:numPr>
          <w:ilvl w:val="0"/>
          <w:numId w:val="7"/>
        </w:numPr>
        <w:spacing w:after="0"/>
        <w:rPr>
          <w:sz w:val="20"/>
          <w:szCs w:val="20"/>
          <w:u w:val="single"/>
          <w:lang w:val="en-GB"/>
        </w:rPr>
      </w:pPr>
      <w:r w:rsidRPr="00011639">
        <w:rPr>
          <w:sz w:val="20"/>
          <w:szCs w:val="20"/>
          <w:u w:val="single"/>
          <w:lang w:val="en-GB"/>
        </w:rPr>
        <w:t>Focus, priority and dependence</w:t>
      </w:r>
    </w:p>
    <w:p w14:paraId="2774A551" w14:textId="77777777" w:rsidR="008A68D8" w:rsidRDefault="00293090" w:rsidP="00E73DE3">
      <w:pPr>
        <w:spacing w:after="0"/>
        <w:ind w:left="720"/>
        <w:rPr>
          <w:sz w:val="20"/>
          <w:szCs w:val="20"/>
          <w:lang w:val="en-GB"/>
        </w:rPr>
      </w:pPr>
      <w:r w:rsidRPr="008A68D8">
        <w:rPr>
          <w:sz w:val="20"/>
          <w:szCs w:val="20"/>
          <w:lang w:val="en-GB"/>
        </w:rPr>
        <w:t xml:space="preserve">HEI/FEC employer engagement work can and often does evolve opportunistically </w:t>
      </w:r>
      <w:r w:rsidR="003D40F4" w:rsidRPr="008A68D8">
        <w:rPr>
          <w:sz w:val="20"/>
          <w:szCs w:val="20"/>
          <w:lang w:val="en-GB"/>
        </w:rPr>
        <w:t>o</w:t>
      </w:r>
      <w:r w:rsidRPr="008A68D8">
        <w:rPr>
          <w:sz w:val="20"/>
          <w:szCs w:val="20"/>
          <w:lang w:val="en-GB"/>
        </w:rPr>
        <w:t xml:space="preserve">n the back of a wide range of priorities, acted upon by staff e.g. pursuit of research or student experience enhancement. While this provides a flexible response and avoids burdensome </w:t>
      </w:r>
      <w:r w:rsidR="00CD455E" w:rsidRPr="008A68D8">
        <w:rPr>
          <w:sz w:val="20"/>
          <w:szCs w:val="20"/>
          <w:lang w:val="en-GB"/>
        </w:rPr>
        <w:t xml:space="preserve">bureaucracy </w:t>
      </w:r>
      <w:r w:rsidRPr="008A68D8">
        <w:rPr>
          <w:sz w:val="20"/>
          <w:szCs w:val="20"/>
          <w:lang w:val="en-GB"/>
        </w:rPr>
        <w:t>for those motivated to unde</w:t>
      </w:r>
      <w:r w:rsidR="00CD455E" w:rsidRPr="008A68D8">
        <w:rPr>
          <w:sz w:val="20"/>
          <w:szCs w:val="20"/>
          <w:lang w:val="en-GB"/>
        </w:rPr>
        <w:t>rtake employer engagement work</w:t>
      </w:r>
      <w:r w:rsidR="003D40F4" w:rsidRPr="008A68D8">
        <w:rPr>
          <w:sz w:val="20"/>
          <w:szCs w:val="20"/>
          <w:lang w:val="en-GB"/>
        </w:rPr>
        <w:t>,</w:t>
      </w:r>
      <w:r w:rsidR="00CD455E" w:rsidRPr="008A68D8">
        <w:rPr>
          <w:sz w:val="20"/>
          <w:szCs w:val="20"/>
          <w:lang w:val="en-GB"/>
        </w:rPr>
        <w:t xml:space="preserve"> a lack of institutional oversight brings other risks including</w:t>
      </w:r>
      <w:r w:rsidR="00CB7468" w:rsidRPr="008A68D8">
        <w:rPr>
          <w:sz w:val="20"/>
          <w:szCs w:val="20"/>
          <w:lang w:val="en-GB"/>
        </w:rPr>
        <w:t xml:space="preserve"> </w:t>
      </w:r>
      <w:r w:rsidR="00CD455E" w:rsidRPr="008A68D8">
        <w:rPr>
          <w:sz w:val="20"/>
          <w:szCs w:val="20"/>
          <w:lang w:val="en-GB"/>
        </w:rPr>
        <w:t>undertaking employer engagement work that is</w:t>
      </w:r>
      <w:r w:rsidR="00CB7468" w:rsidRPr="008A68D8">
        <w:rPr>
          <w:sz w:val="20"/>
          <w:szCs w:val="20"/>
          <w:lang w:val="en-GB"/>
        </w:rPr>
        <w:t xml:space="preserve">: </w:t>
      </w:r>
    </w:p>
    <w:p w14:paraId="40F6CFE2" w14:textId="192A4F2F" w:rsidR="008A68D8" w:rsidRPr="008A68D8" w:rsidRDefault="00CB7468" w:rsidP="00E73DE3">
      <w:pPr>
        <w:spacing w:after="0"/>
        <w:ind w:left="1090"/>
        <w:rPr>
          <w:sz w:val="20"/>
          <w:szCs w:val="20"/>
          <w:lang w:val="en-GB"/>
        </w:rPr>
      </w:pPr>
      <w:r w:rsidRPr="008A68D8">
        <w:rPr>
          <w:sz w:val="20"/>
          <w:szCs w:val="20"/>
          <w:lang w:val="en-GB"/>
        </w:rPr>
        <w:t>[</w:t>
      </w:r>
      <w:proofErr w:type="spellStart"/>
      <w:r w:rsidRPr="008A68D8">
        <w:rPr>
          <w:sz w:val="20"/>
          <w:szCs w:val="20"/>
          <w:lang w:val="en-GB"/>
        </w:rPr>
        <w:t>i</w:t>
      </w:r>
      <w:proofErr w:type="spellEnd"/>
      <w:r w:rsidRPr="008A68D8">
        <w:rPr>
          <w:sz w:val="20"/>
          <w:szCs w:val="20"/>
          <w:lang w:val="en-GB"/>
        </w:rPr>
        <w:t>]</w:t>
      </w:r>
      <w:r w:rsidR="00CD455E" w:rsidRPr="008A68D8">
        <w:rPr>
          <w:sz w:val="20"/>
          <w:szCs w:val="20"/>
          <w:lang w:val="en-GB"/>
        </w:rPr>
        <w:t xml:space="preserve"> </w:t>
      </w:r>
      <w:proofErr w:type="gramStart"/>
      <w:r w:rsidR="00CD455E" w:rsidRPr="008A68D8">
        <w:rPr>
          <w:sz w:val="20"/>
          <w:szCs w:val="20"/>
          <w:lang w:val="en-GB"/>
        </w:rPr>
        <w:t>expensive</w:t>
      </w:r>
      <w:proofErr w:type="gramEnd"/>
      <w:r w:rsidR="00CD455E" w:rsidRPr="008A68D8">
        <w:rPr>
          <w:sz w:val="20"/>
          <w:szCs w:val="20"/>
          <w:lang w:val="en-GB"/>
        </w:rPr>
        <w:t xml:space="preserve"> to the HEI/FEC or is not a</w:t>
      </w:r>
      <w:r w:rsidR="008A68D8">
        <w:rPr>
          <w:sz w:val="20"/>
          <w:szCs w:val="20"/>
          <w:lang w:val="en-GB"/>
        </w:rPr>
        <w:t>ligned to strategic priorities</w:t>
      </w:r>
    </w:p>
    <w:p w14:paraId="5791DCD1" w14:textId="77777777" w:rsidR="008A68D8" w:rsidRDefault="00CD455E" w:rsidP="00E73DE3">
      <w:pPr>
        <w:pStyle w:val="ListParagraph"/>
        <w:spacing w:after="0"/>
        <w:ind w:left="1090"/>
        <w:rPr>
          <w:sz w:val="20"/>
          <w:szCs w:val="20"/>
          <w:lang w:val="en-GB"/>
        </w:rPr>
      </w:pPr>
      <w:r w:rsidRPr="00CB7468">
        <w:rPr>
          <w:sz w:val="20"/>
          <w:szCs w:val="20"/>
          <w:lang w:val="en-GB"/>
        </w:rPr>
        <w:t>[ii] overly driven by d</w:t>
      </w:r>
      <w:r w:rsidR="00372CD6" w:rsidRPr="00CB7468">
        <w:rPr>
          <w:sz w:val="20"/>
          <w:szCs w:val="20"/>
          <w:lang w:val="en-GB"/>
        </w:rPr>
        <w:t xml:space="preserve">ominant </w:t>
      </w:r>
      <w:r w:rsidRPr="00CB7468">
        <w:rPr>
          <w:sz w:val="20"/>
          <w:szCs w:val="20"/>
          <w:lang w:val="en-GB"/>
        </w:rPr>
        <w:t xml:space="preserve">employer voices at the expense of smaller or less strident current </w:t>
      </w:r>
      <w:r w:rsidR="008A68D8">
        <w:rPr>
          <w:sz w:val="20"/>
          <w:szCs w:val="20"/>
          <w:lang w:val="en-GB"/>
        </w:rPr>
        <w:t>or potential employer partners</w:t>
      </w:r>
    </w:p>
    <w:p w14:paraId="11D119A4" w14:textId="072C8EB3" w:rsidR="00B46441" w:rsidRDefault="00CD455E" w:rsidP="00E73DE3">
      <w:pPr>
        <w:pStyle w:val="ListParagraph"/>
        <w:spacing w:after="0"/>
        <w:ind w:left="1090"/>
        <w:rPr>
          <w:sz w:val="20"/>
          <w:szCs w:val="20"/>
          <w:lang w:val="en-GB"/>
        </w:rPr>
      </w:pPr>
      <w:r w:rsidRPr="00CB7468">
        <w:rPr>
          <w:sz w:val="20"/>
          <w:szCs w:val="20"/>
          <w:lang w:val="en-GB"/>
        </w:rPr>
        <w:t xml:space="preserve">[iii] </w:t>
      </w:r>
      <w:proofErr w:type="gramStart"/>
      <w:r w:rsidRPr="00CB7468">
        <w:rPr>
          <w:sz w:val="20"/>
          <w:szCs w:val="20"/>
          <w:lang w:val="en-GB"/>
        </w:rPr>
        <w:t>driven</w:t>
      </w:r>
      <w:proofErr w:type="gramEnd"/>
      <w:r w:rsidRPr="00CB7468">
        <w:rPr>
          <w:sz w:val="20"/>
          <w:szCs w:val="20"/>
          <w:lang w:val="en-GB"/>
        </w:rPr>
        <w:t xml:space="preserve"> by employers available to participate, </w:t>
      </w:r>
      <w:r w:rsidR="003D40F4">
        <w:rPr>
          <w:sz w:val="20"/>
          <w:szCs w:val="20"/>
          <w:lang w:val="en-GB"/>
        </w:rPr>
        <w:t xml:space="preserve">but </w:t>
      </w:r>
      <w:r w:rsidRPr="00CB7468">
        <w:rPr>
          <w:sz w:val="20"/>
          <w:szCs w:val="20"/>
          <w:lang w:val="en-GB"/>
        </w:rPr>
        <w:t>not those best suited to the activity</w:t>
      </w:r>
    </w:p>
    <w:p w14:paraId="1DD168A5" w14:textId="77777777" w:rsidR="00372CD6" w:rsidRPr="00CB7468" w:rsidRDefault="00CD455E" w:rsidP="00E73DE3">
      <w:pPr>
        <w:pStyle w:val="ListParagraph"/>
        <w:spacing w:after="0"/>
        <w:ind w:left="1090"/>
        <w:rPr>
          <w:sz w:val="20"/>
          <w:szCs w:val="20"/>
          <w:lang w:val="en-GB"/>
        </w:rPr>
      </w:pPr>
      <w:r w:rsidRPr="00CB7468">
        <w:rPr>
          <w:sz w:val="20"/>
          <w:szCs w:val="20"/>
          <w:lang w:val="en-GB"/>
        </w:rPr>
        <w:t xml:space="preserve">[iv] </w:t>
      </w:r>
      <w:proofErr w:type="gramStart"/>
      <w:r w:rsidRPr="00CB7468">
        <w:rPr>
          <w:sz w:val="20"/>
          <w:szCs w:val="20"/>
          <w:lang w:val="en-GB"/>
        </w:rPr>
        <w:t>potentially</w:t>
      </w:r>
      <w:proofErr w:type="gramEnd"/>
      <w:r w:rsidRPr="00CB7468">
        <w:rPr>
          <w:sz w:val="20"/>
          <w:szCs w:val="20"/>
          <w:lang w:val="en-GB"/>
        </w:rPr>
        <w:t xml:space="preserve"> valuable to the employer and HEI/FEC but </w:t>
      </w:r>
      <w:r w:rsidR="00CB7468" w:rsidRPr="00CB7468">
        <w:rPr>
          <w:sz w:val="20"/>
          <w:szCs w:val="20"/>
          <w:lang w:val="en-GB"/>
        </w:rPr>
        <w:t xml:space="preserve">is work </w:t>
      </w:r>
      <w:r w:rsidRPr="00CB7468">
        <w:rPr>
          <w:sz w:val="20"/>
          <w:szCs w:val="20"/>
          <w:lang w:val="en-GB"/>
        </w:rPr>
        <w:t>that cannot be</w:t>
      </w:r>
      <w:r w:rsidR="008A68D8">
        <w:rPr>
          <w:sz w:val="20"/>
          <w:szCs w:val="20"/>
          <w:lang w:val="en-GB"/>
        </w:rPr>
        <w:t xml:space="preserve"> replicated with other partners</w:t>
      </w:r>
    </w:p>
    <w:p w14:paraId="05A84109" w14:textId="77777777" w:rsidR="003C7207" w:rsidRDefault="00CD455E" w:rsidP="00E73DE3">
      <w:pPr>
        <w:pStyle w:val="ListParagraph"/>
        <w:spacing w:after="0"/>
        <w:ind w:left="730"/>
        <w:rPr>
          <w:sz w:val="20"/>
          <w:szCs w:val="20"/>
          <w:lang w:val="en-GB"/>
        </w:rPr>
      </w:pPr>
      <w:r w:rsidRPr="00CB7468">
        <w:rPr>
          <w:sz w:val="20"/>
          <w:szCs w:val="20"/>
          <w:u w:val="single"/>
          <w:lang w:val="en-GB"/>
        </w:rPr>
        <w:t>Mitigation</w:t>
      </w:r>
      <w:r w:rsidRPr="00CB7468">
        <w:rPr>
          <w:sz w:val="20"/>
          <w:szCs w:val="20"/>
          <w:lang w:val="en-GB"/>
        </w:rPr>
        <w:t>: at an institutional level</w:t>
      </w:r>
      <w:r w:rsidR="00CB7468" w:rsidRPr="00CB7468">
        <w:rPr>
          <w:sz w:val="20"/>
          <w:szCs w:val="20"/>
          <w:lang w:val="en-GB"/>
        </w:rPr>
        <w:t xml:space="preserve"> the HEI/FEC should</w:t>
      </w:r>
      <w:r w:rsidR="008F471A">
        <w:rPr>
          <w:sz w:val="20"/>
          <w:szCs w:val="20"/>
          <w:lang w:val="en-GB"/>
        </w:rPr>
        <w:t>:</w:t>
      </w:r>
      <w:r w:rsidR="00CB7468" w:rsidRPr="00CB7468">
        <w:rPr>
          <w:sz w:val="20"/>
          <w:szCs w:val="20"/>
          <w:lang w:val="en-GB"/>
        </w:rPr>
        <w:t xml:space="preserve"> </w:t>
      </w:r>
    </w:p>
    <w:p w14:paraId="22D3A780" w14:textId="77777777" w:rsidR="008F471A" w:rsidRDefault="00CB7468" w:rsidP="00E73DE3">
      <w:pPr>
        <w:pStyle w:val="ListParagraph"/>
        <w:spacing w:after="0"/>
        <w:ind w:left="1090"/>
        <w:rPr>
          <w:sz w:val="20"/>
          <w:szCs w:val="20"/>
          <w:lang w:val="en-GB"/>
        </w:rPr>
      </w:pPr>
      <w:r w:rsidRPr="00CB7468">
        <w:rPr>
          <w:sz w:val="20"/>
          <w:szCs w:val="20"/>
          <w:lang w:val="en-GB"/>
        </w:rPr>
        <w:lastRenderedPageBreak/>
        <w:t>[</w:t>
      </w:r>
      <w:proofErr w:type="spellStart"/>
      <w:r w:rsidRPr="00CB7468">
        <w:rPr>
          <w:sz w:val="20"/>
          <w:szCs w:val="20"/>
          <w:lang w:val="en-GB"/>
        </w:rPr>
        <w:t>i</w:t>
      </w:r>
      <w:proofErr w:type="spellEnd"/>
      <w:r w:rsidRPr="00CB7468">
        <w:rPr>
          <w:sz w:val="20"/>
          <w:szCs w:val="20"/>
          <w:lang w:val="en-GB"/>
        </w:rPr>
        <w:t xml:space="preserve">] have a view of the type and number of employer partners it wants to work with across a range of activities [ii] </w:t>
      </w:r>
      <w:r w:rsidR="002D5FF9">
        <w:rPr>
          <w:sz w:val="20"/>
          <w:szCs w:val="20"/>
          <w:lang w:val="en-GB"/>
        </w:rPr>
        <w:t>g</w:t>
      </w:r>
      <w:r w:rsidRPr="00CB7468">
        <w:rPr>
          <w:sz w:val="20"/>
          <w:szCs w:val="20"/>
          <w:lang w:val="en-GB"/>
        </w:rPr>
        <w:t>uide</w:t>
      </w:r>
      <w:r w:rsidR="002D5FF9">
        <w:rPr>
          <w:sz w:val="20"/>
          <w:szCs w:val="20"/>
          <w:lang w:val="en-GB"/>
        </w:rPr>
        <w:t xml:space="preserve"> and support</w:t>
      </w:r>
      <w:r w:rsidRPr="00CB7468">
        <w:rPr>
          <w:sz w:val="20"/>
          <w:szCs w:val="20"/>
          <w:lang w:val="en-GB"/>
        </w:rPr>
        <w:t xml:space="preserve"> staff in gaining employer partners and </w:t>
      </w:r>
      <w:r>
        <w:rPr>
          <w:sz w:val="20"/>
          <w:szCs w:val="20"/>
          <w:lang w:val="en-GB"/>
        </w:rPr>
        <w:t>maintaining relationships</w:t>
      </w:r>
    </w:p>
    <w:p w14:paraId="2CCD99F1" w14:textId="77777777" w:rsidR="008F471A" w:rsidRDefault="00CB7468" w:rsidP="00E73DE3">
      <w:pPr>
        <w:pStyle w:val="ListParagraph"/>
        <w:spacing w:after="0"/>
        <w:ind w:left="1090"/>
        <w:rPr>
          <w:sz w:val="20"/>
          <w:szCs w:val="20"/>
          <w:lang w:val="en-GB"/>
        </w:rPr>
      </w:pPr>
      <w:r w:rsidRPr="00CB7468">
        <w:rPr>
          <w:sz w:val="20"/>
          <w:szCs w:val="20"/>
          <w:lang w:val="en-GB"/>
        </w:rPr>
        <w:t xml:space="preserve">[iii] </w:t>
      </w:r>
      <w:r w:rsidR="002D5FF9">
        <w:rPr>
          <w:sz w:val="20"/>
          <w:szCs w:val="20"/>
          <w:lang w:val="en-GB"/>
        </w:rPr>
        <w:t>c</w:t>
      </w:r>
      <w:r w:rsidRPr="00CB7468">
        <w:rPr>
          <w:sz w:val="20"/>
          <w:szCs w:val="20"/>
          <w:lang w:val="en-GB"/>
        </w:rPr>
        <w:t xml:space="preserve">onsider rewarding staff for success in </w:t>
      </w:r>
      <w:r w:rsidR="002E5523">
        <w:rPr>
          <w:sz w:val="20"/>
          <w:szCs w:val="20"/>
          <w:lang w:val="en-GB"/>
        </w:rPr>
        <w:t>employer engagement work</w:t>
      </w:r>
      <w:r w:rsidR="002D5FF9">
        <w:rPr>
          <w:sz w:val="20"/>
          <w:szCs w:val="20"/>
          <w:lang w:val="en-GB"/>
        </w:rPr>
        <w:t>, in orde</w:t>
      </w:r>
      <w:r w:rsidR="008F471A">
        <w:rPr>
          <w:sz w:val="20"/>
          <w:szCs w:val="20"/>
          <w:lang w:val="en-GB"/>
        </w:rPr>
        <w:t>r</w:t>
      </w:r>
      <w:r w:rsidR="002D5FF9">
        <w:rPr>
          <w:sz w:val="20"/>
          <w:szCs w:val="20"/>
          <w:lang w:val="en-GB"/>
        </w:rPr>
        <w:t xml:space="preserve"> to share a</w:t>
      </w:r>
      <w:r w:rsidR="008F471A">
        <w:rPr>
          <w:sz w:val="20"/>
          <w:szCs w:val="20"/>
          <w:lang w:val="en-GB"/>
        </w:rPr>
        <w:t>nd build on successful practice</w:t>
      </w:r>
    </w:p>
    <w:p w14:paraId="66976E1E" w14:textId="77777777" w:rsidR="008F471A" w:rsidRDefault="002E5523" w:rsidP="00E73DE3">
      <w:pPr>
        <w:pStyle w:val="ListParagraph"/>
        <w:spacing w:after="0"/>
        <w:ind w:left="1090"/>
        <w:rPr>
          <w:sz w:val="20"/>
          <w:szCs w:val="20"/>
          <w:lang w:val="en-GB"/>
        </w:rPr>
      </w:pPr>
      <w:r>
        <w:rPr>
          <w:sz w:val="20"/>
          <w:szCs w:val="20"/>
          <w:lang w:val="en-GB"/>
        </w:rPr>
        <w:t xml:space="preserve">[iv] </w:t>
      </w:r>
      <w:r w:rsidR="002D5FF9">
        <w:rPr>
          <w:sz w:val="20"/>
          <w:szCs w:val="20"/>
          <w:lang w:val="en-GB"/>
        </w:rPr>
        <w:t>m</w:t>
      </w:r>
      <w:r>
        <w:rPr>
          <w:sz w:val="20"/>
          <w:szCs w:val="20"/>
          <w:lang w:val="en-GB"/>
        </w:rPr>
        <w:t>aintain an</w:t>
      </w:r>
      <w:r w:rsidR="00CB7468" w:rsidRPr="00CB7468">
        <w:rPr>
          <w:sz w:val="20"/>
          <w:szCs w:val="20"/>
          <w:lang w:val="en-GB"/>
        </w:rPr>
        <w:t xml:space="preserve"> overview of employer engagement partnerships so as to avoid over re</w:t>
      </w:r>
      <w:r w:rsidR="008F471A">
        <w:rPr>
          <w:sz w:val="20"/>
          <w:szCs w:val="20"/>
          <w:lang w:val="en-GB"/>
        </w:rPr>
        <w:t>liance on single employers</w:t>
      </w:r>
    </w:p>
    <w:p w14:paraId="5A685E3F" w14:textId="77777777" w:rsidR="00372CD6" w:rsidRPr="00CB7468" w:rsidRDefault="002E5523" w:rsidP="00E73DE3">
      <w:pPr>
        <w:pStyle w:val="ListParagraph"/>
        <w:spacing w:after="0"/>
        <w:ind w:left="1090"/>
        <w:rPr>
          <w:sz w:val="20"/>
          <w:szCs w:val="20"/>
          <w:lang w:val="en-GB"/>
        </w:rPr>
      </w:pPr>
      <w:r>
        <w:rPr>
          <w:sz w:val="20"/>
          <w:szCs w:val="20"/>
          <w:lang w:val="en-GB"/>
        </w:rPr>
        <w:t xml:space="preserve">[v] </w:t>
      </w:r>
      <w:r w:rsidR="002D5FF9">
        <w:rPr>
          <w:sz w:val="20"/>
          <w:szCs w:val="20"/>
          <w:lang w:val="en-GB"/>
        </w:rPr>
        <w:t>c</w:t>
      </w:r>
      <w:r w:rsidR="00CB7468" w:rsidRPr="00CB7468">
        <w:rPr>
          <w:sz w:val="20"/>
          <w:szCs w:val="20"/>
          <w:lang w:val="en-GB"/>
        </w:rPr>
        <w:t xml:space="preserve">onsider prioritising and clustering some aspects </w:t>
      </w:r>
      <w:r w:rsidR="000A7C92">
        <w:rPr>
          <w:sz w:val="20"/>
          <w:szCs w:val="20"/>
          <w:lang w:val="en-GB"/>
        </w:rPr>
        <w:t xml:space="preserve">of </w:t>
      </w:r>
      <w:r w:rsidR="00CB7468" w:rsidRPr="00CB7468">
        <w:rPr>
          <w:sz w:val="20"/>
          <w:szCs w:val="20"/>
          <w:lang w:val="en-GB"/>
        </w:rPr>
        <w:t>employer engagement work to provide bett</w:t>
      </w:r>
      <w:r w:rsidR="008F471A">
        <w:rPr>
          <w:sz w:val="20"/>
          <w:szCs w:val="20"/>
          <w:lang w:val="en-GB"/>
        </w:rPr>
        <w:t>er strategic clarity for staff</w:t>
      </w:r>
    </w:p>
    <w:p w14:paraId="04364745" w14:textId="77777777" w:rsidR="002D5FF9" w:rsidRDefault="002D5FF9" w:rsidP="00E73DE3">
      <w:pPr>
        <w:spacing w:after="0"/>
      </w:pPr>
    </w:p>
    <w:p w14:paraId="3158C775" w14:textId="77777777" w:rsidR="00F91053" w:rsidRPr="00F91053" w:rsidRDefault="00712308" w:rsidP="00E73DE3">
      <w:pPr>
        <w:pStyle w:val="ListParagraph"/>
        <w:numPr>
          <w:ilvl w:val="0"/>
          <w:numId w:val="7"/>
        </w:numPr>
        <w:spacing w:after="0"/>
        <w:rPr>
          <w:sz w:val="20"/>
          <w:szCs w:val="20"/>
          <w:u w:val="single"/>
          <w:lang w:val="en-GB"/>
        </w:rPr>
      </w:pPr>
      <w:r>
        <w:rPr>
          <w:sz w:val="20"/>
          <w:szCs w:val="20"/>
          <w:u w:val="single"/>
          <w:lang w:val="en-GB"/>
        </w:rPr>
        <w:t>Multi-employer c</w:t>
      </w:r>
      <w:r w:rsidR="002C1BB5" w:rsidRPr="00F91053">
        <w:rPr>
          <w:sz w:val="20"/>
          <w:szCs w:val="20"/>
          <w:u w:val="single"/>
          <w:lang w:val="en-GB"/>
        </w:rPr>
        <w:t xml:space="preserve">omplexity </w:t>
      </w:r>
    </w:p>
    <w:p w14:paraId="35E89F7B" w14:textId="77777777" w:rsidR="00F064BE" w:rsidRDefault="00A879F1" w:rsidP="00E73DE3">
      <w:pPr>
        <w:spacing w:after="0"/>
        <w:ind w:left="720"/>
        <w:rPr>
          <w:sz w:val="20"/>
          <w:szCs w:val="20"/>
          <w:lang w:val="en-GB"/>
        </w:rPr>
      </w:pPr>
      <w:r>
        <w:rPr>
          <w:sz w:val="20"/>
          <w:szCs w:val="20"/>
          <w:lang w:val="en-GB"/>
        </w:rPr>
        <w:t>M</w:t>
      </w:r>
      <w:r w:rsidR="00F91053">
        <w:rPr>
          <w:sz w:val="20"/>
          <w:szCs w:val="20"/>
          <w:lang w:val="en-GB"/>
        </w:rPr>
        <w:t xml:space="preserve">uch employer engagement work </w:t>
      </w:r>
      <w:r w:rsidR="0000092F">
        <w:rPr>
          <w:sz w:val="20"/>
          <w:szCs w:val="20"/>
          <w:lang w:val="en-GB"/>
        </w:rPr>
        <w:t xml:space="preserve">involves a single employer, or </w:t>
      </w:r>
      <w:r w:rsidR="005D1691">
        <w:rPr>
          <w:sz w:val="20"/>
          <w:szCs w:val="20"/>
          <w:lang w:val="en-GB"/>
        </w:rPr>
        <w:t>multiple employers undertaking the same activity e.g. providing student placements</w:t>
      </w:r>
      <w:r w:rsidR="00F064BE">
        <w:rPr>
          <w:sz w:val="20"/>
          <w:szCs w:val="20"/>
          <w:lang w:val="en-GB"/>
        </w:rPr>
        <w:t xml:space="preserve">, </w:t>
      </w:r>
      <w:r w:rsidR="002D5FF9">
        <w:rPr>
          <w:sz w:val="20"/>
          <w:szCs w:val="20"/>
          <w:lang w:val="en-GB"/>
        </w:rPr>
        <w:t>continuing professional development</w:t>
      </w:r>
      <w:r w:rsidR="008F471A">
        <w:rPr>
          <w:sz w:val="20"/>
          <w:szCs w:val="20"/>
          <w:lang w:val="en-GB"/>
        </w:rPr>
        <w:t xml:space="preserve"> [</w:t>
      </w:r>
      <w:r w:rsidR="00F064BE">
        <w:rPr>
          <w:sz w:val="20"/>
          <w:szCs w:val="20"/>
          <w:lang w:val="en-GB"/>
        </w:rPr>
        <w:t>CPD</w:t>
      </w:r>
      <w:r w:rsidR="008F471A">
        <w:rPr>
          <w:sz w:val="20"/>
          <w:szCs w:val="20"/>
          <w:lang w:val="en-GB"/>
        </w:rPr>
        <w:t>]</w:t>
      </w:r>
      <w:r w:rsidR="00F064BE">
        <w:rPr>
          <w:sz w:val="20"/>
          <w:szCs w:val="20"/>
          <w:lang w:val="en-GB"/>
        </w:rPr>
        <w:t xml:space="preserve"> provision</w:t>
      </w:r>
      <w:r>
        <w:rPr>
          <w:sz w:val="20"/>
          <w:szCs w:val="20"/>
          <w:lang w:val="en-GB"/>
        </w:rPr>
        <w:t xml:space="preserve"> or supporting a research project</w:t>
      </w:r>
      <w:r w:rsidR="005D1691">
        <w:rPr>
          <w:sz w:val="20"/>
          <w:szCs w:val="20"/>
          <w:lang w:val="en-GB"/>
        </w:rPr>
        <w:t>.</w:t>
      </w:r>
      <w:r>
        <w:rPr>
          <w:sz w:val="20"/>
          <w:szCs w:val="20"/>
          <w:lang w:val="en-GB"/>
        </w:rPr>
        <w:t xml:space="preserve"> However, there are more complex models of employer engagement involving multiple employers e.g. regional employer forums or liaison with professional, trade or industry bodies. The risks are similar </w:t>
      </w:r>
      <w:r w:rsidR="000A7C92">
        <w:rPr>
          <w:sz w:val="20"/>
          <w:szCs w:val="20"/>
          <w:lang w:val="en-GB"/>
        </w:rPr>
        <w:t xml:space="preserve">to those </w:t>
      </w:r>
      <w:r>
        <w:rPr>
          <w:sz w:val="20"/>
          <w:szCs w:val="20"/>
          <w:lang w:val="en-GB"/>
        </w:rPr>
        <w:t>for single employer links, but the numbers involved multipl</w:t>
      </w:r>
      <w:r w:rsidR="000A7C92">
        <w:rPr>
          <w:sz w:val="20"/>
          <w:szCs w:val="20"/>
          <w:lang w:val="en-GB"/>
        </w:rPr>
        <w:t>y</w:t>
      </w:r>
      <w:r>
        <w:rPr>
          <w:sz w:val="20"/>
          <w:szCs w:val="20"/>
          <w:lang w:val="en-GB"/>
        </w:rPr>
        <w:t xml:space="preserve"> the risks in terms of relationship and reputational risk. Once such groups are established or links made, employer expectations are created. Com</w:t>
      </w:r>
      <w:r w:rsidR="008F471A">
        <w:rPr>
          <w:sz w:val="20"/>
          <w:szCs w:val="20"/>
          <w:lang w:val="en-GB"/>
        </w:rPr>
        <w:t>mon employer criticisms include:</w:t>
      </w:r>
    </w:p>
    <w:p w14:paraId="383B1291" w14:textId="536B2D96" w:rsidR="00F064BE" w:rsidRDefault="00A879F1" w:rsidP="00E73DE3">
      <w:pPr>
        <w:spacing w:after="0"/>
        <w:ind w:left="1080"/>
        <w:rPr>
          <w:sz w:val="20"/>
          <w:szCs w:val="20"/>
          <w:lang w:val="en-GB"/>
        </w:rPr>
      </w:pPr>
      <w:r>
        <w:rPr>
          <w:sz w:val="20"/>
          <w:szCs w:val="20"/>
          <w:lang w:val="en-GB"/>
        </w:rPr>
        <w:t>[</w:t>
      </w:r>
      <w:proofErr w:type="spellStart"/>
      <w:r>
        <w:rPr>
          <w:sz w:val="20"/>
          <w:szCs w:val="20"/>
          <w:lang w:val="en-GB"/>
        </w:rPr>
        <w:t>i</w:t>
      </w:r>
      <w:proofErr w:type="spellEnd"/>
      <w:r>
        <w:rPr>
          <w:sz w:val="20"/>
          <w:szCs w:val="20"/>
          <w:lang w:val="en-GB"/>
        </w:rPr>
        <w:t xml:space="preserve">] </w:t>
      </w:r>
      <w:r w:rsidR="00B46441">
        <w:rPr>
          <w:sz w:val="20"/>
          <w:szCs w:val="20"/>
          <w:lang w:val="en-GB"/>
        </w:rPr>
        <w:t>In return f</w:t>
      </w:r>
      <w:r w:rsidR="002D5FF9">
        <w:rPr>
          <w:sz w:val="20"/>
          <w:szCs w:val="20"/>
          <w:lang w:val="en-GB"/>
        </w:rPr>
        <w:t>or giving up their</w:t>
      </w:r>
      <w:r>
        <w:rPr>
          <w:sz w:val="20"/>
          <w:szCs w:val="20"/>
          <w:lang w:val="en-GB"/>
        </w:rPr>
        <w:t xml:space="preserve"> time they require clear and targeted activity that th</w:t>
      </w:r>
      <w:r w:rsidR="008F471A">
        <w:rPr>
          <w:sz w:val="20"/>
          <w:szCs w:val="20"/>
          <w:lang w:val="en-GB"/>
        </w:rPr>
        <w:t>ey can focus on from the start</w:t>
      </w:r>
    </w:p>
    <w:p w14:paraId="4D441932" w14:textId="77777777" w:rsidR="001D76F6" w:rsidRDefault="00A879F1" w:rsidP="00E73DE3">
      <w:pPr>
        <w:spacing w:after="0"/>
        <w:ind w:left="1080"/>
        <w:rPr>
          <w:sz w:val="20"/>
          <w:szCs w:val="20"/>
          <w:lang w:val="en-GB"/>
        </w:rPr>
      </w:pPr>
      <w:r>
        <w:rPr>
          <w:sz w:val="20"/>
          <w:szCs w:val="20"/>
          <w:lang w:val="en-GB"/>
        </w:rPr>
        <w:t>[ii] Such groups lose their way after a period of time and become a ritual</w:t>
      </w:r>
      <w:r w:rsidR="00712308">
        <w:rPr>
          <w:sz w:val="20"/>
          <w:szCs w:val="20"/>
          <w:lang w:val="en-GB"/>
        </w:rPr>
        <w:t>,</w:t>
      </w:r>
      <w:r>
        <w:rPr>
          <w:sz w:val="20"/>
          <w:szCs w:val="20"/>
          <w:lang w:val="en-GB"/>
        </w:rPr>
        <w:t xml:space="preserve"> rather tha</w:t>
      </w:r>
      <w:r w:rsidR="00712308">
        <w:rPr>
          <w:sz w:val="20"/>
          <w:szCs w:val="20"/>
          <w:lang w:val="en-GB"/>
        </w:rPr>
        <w:t>n</w:t>
      </w:r>
      <w:r>
        <w:rPr>
          <w:sz w:val="20"/>
          <w:szCs w:val="20"/>
          <w:lang w:val="en-GB"/>
        </w:rPr>
        <w:t xml:space="preserve"> p</w:t>
      </w:r>
      <w:r w:rsidR="008F471A">
        <w:rPr>
          <w:sz w:val="20"/>
          <w:szCs w:val="20"/>
          <w:lang w:val="en-GB"/>
        </w:rPr>
        <w:t>roductive business engagements</w:t>
      </w:r>
    </w:p>
    <w:p w14:paraId="488768CF" w14:textId="77777777" w:rsidR="00F064BE" w:rsidRPr="00F064BE" w:rsidRDefault="00A879F1" w:rsidP="00E73DE3">
      <w:pPr>
        <w:spacing w:after="0"/>
        <w:ind w:left="720"/>
        <w:rPr>
          <w:rFonts w:cstheme="minorHAnsi"/>
          <w:sz w:val="20"/>
          <w:szCs w:val="20"/>
        </w:rPr>
      </w:pPr>
      <w:r w:rsidRPr="00A869DB">
        <w:rPr>
          <w:sz w:val="20"/>
          <w:szCs w:val="20"/>
          <w:u w:val="single"/>
          <w:lang w:val="en-GB"/>
        </w:rPr>
        <w:t>Mitigation</w:t>
      </w:r>
      <w:r w:rsidRPr="00A869DB">
        <w:rPr>
          <w:sz w:val="20"/>
          <w:szCs w:val="20"/>
          <w:lang w:val="en-GB"/>
        </w:rPr>
        <w:t xml:space="preserve">: </w:t>
      </w:r>
      <w:r>
        <w:rPr>
          <w:sz w:val="20"/>
          <w:szCs w:val="20"/>
          <w:lang w:val="en-GB"/>
        </w:rPr>
        <w:t xml:space="preserve">HEI/FEC should organise or join such </w:t>
      </w:r>
      <w:proofErr w:type="spellStart"/>
      <w:r>
        <w:rPr>
          <w:sz w:val="20"/>
          <w:szCs w:val="20"/>
          <w:lang w:val="en-GB"/>
        </w:rPr>
        <w:t>fora</w:t>
      </w:r>
      <w:proofErr w:type="spellEnd"/>
      <w:r>
        <w:rPr>
          <w:sz w:val="20"/>
          <w:szCs w:val="20"/>
          <w:lang w:val="en-GB"/>
        </w:rPr>
        <w:t xml:space="preserve"> for a time limited period </w:t>
      </w:r>
      <w:r w:rsidR="00712308">
        <w:rPr>
          <w:sz w:val="20"/>
          <w:szCs w:val="20"/>
          <w:lang w:val="en-GB"/>
        </w:rPr>
        <w:t xml:space="preserve">to test </w:t>
      </w:r>
      <w:r w:rsidR="000A7C92">
        <w:rPr>
          <w:sz w:val="20"/>
          <w:szCs w:val="20"/>
          <w:lang w:val="en-GB"/>
        </w:rPr>
        <w:t xml:space="preserve">their </w:t>
      </w:r>
      <w:r w:rsidR="00712308">
        <w:rPr>
          <w:sz w:val="20"/>
          <w:szCs w:val="20"/>
          <w:lang w:val="en-GB"/>
        </w:rPr>
        <w:t xml:space="preserve">fitness for purpose; </w:t>
      </w:r>
      <w:r w:rsidR="00712308" w:rsidRPr="00F064BE">
        <w:rPr>
          <w:sz w:val="20"/>
          <w:szCs w:val="20"/>
          <w:lang w:val="en-GB"/>
        </w:rPr>
        <w:t xml:space="preserve">once established, their purpose / continued value should be </w:t>
      </w:r>
      <w:r w:rsidR="002D5FF9">
        <w:rPr>
          <w:sz w:val="20"/>
          <w:szCs w:val="20"/>
          <w:lang w:val="en-GB"/>
        </w:rPr>
        <w:t xml:space="preserve">reviewed </w:t>
      </w:r>
      <w:r w:rsidR="00712308" w:rsidRPr="00F064BE">
        <w:rPr>
          <w:sz w:val="20"/>
          <w:szCs w:val="20"/>
          <w:lang w:val="en-GB"/>
        </w:rPr>
        <w:t xml:space="preserve">periodically. </w:t>
      </w:r>
      <w:r w:rsidR="00F064BE" w:rsidRPr="00F064BE">
        <w:rPr>
          <w:sz w:val="20"/>
          <w:szCs w:val="20"/>
          <w:lang w:val="en-GB"/>
        </w:rPr>
        <w:t>Another key factor to consider in managing</w:t>
      </w:r>
      <w:r w:rsidR="00F064BE" w:rsidRPr="00F064BE">
        <w:rPr>
          <w:rFonts w:cstheme="minorHAnsi"/>
          <w:sz w:val="20"/>
          <w:szCs w:val="20"/>
        </w:rPr>
        <w:t xml:space="preserve"> the risk of employer engagement work is to review and follow up the contribution of Labour Market Intelligence [LMI] to current and past activities.</w:t>
      </w:r>
    </w:p>
    <w:p w14:paraId="0DCC9848" w14:textId="77777777" w:rsidR="001D76F6" w:rsidRPr="00F064BE" w:rsidRDefault="001D76F6" w:rsidP="001E482E">
      <w:pPr>
        <w:spacing w:after="0"/>
        <w:rPr>
          <w:b/>
          <w:bCs/>
          <w:sz w:val="20"/>
          <w:szCs w:val="20"/>
          <w:lang w:val="en-GB"/>
        </w:rPr>
      </w:pPr>
    </w:p>
    <w:p w14:paraId="7CFAB5C7" w14:textId="77777777" w:rsidR="00DF6332" w:rsidRPr="00F064BE" w:rsidRDefault="00DF6332" w:rsidP="00E73DE3">
      <w:pPr>
        <w:pStyle w:val="ListParagraph"/>
        <w:numPr>
          <w:ilvl w:val="0"/>
          <w:numId w:val="8"/>
        </w:numPr>
        <w:spacing w:after="0"/>
        <w:rPr>
          <w:sz w:val="20"/>
          <w:szCs w:val="20"/>
          <w:u w:val="single"/>
          <w:lang w:val="en-GB"/>
        </w:rPr>
      </w:pPr>
      <w:r w:rsidRPr="00F064BE">
        <w:rPr>
          <w:sz w:val="20"/>
          <w:szCs w:val="20"/>
          <w:u w:val="single"/>
          <w:lang w:val="en-GB"/>
        </w:rPr>
        <w:t>Costs, value and opportunity cost</w:t>
      </w:r>
    </w:p>
    <w:p w14:paraId="391C9944" w14:textId="77777777" w:rsidR="00DF6332" w:rsidRDefault="00DF6332" w:rsidP="00E73DE3">
      <w:pPr>
        <w:spacing w:after="0"/>
        <w:ind w:left="720"/>
        <w:rPr>
          <w:sz w:val="20"/>
          <w:szCs w:val="20"/>
          <w:lang w:val="en-GB"/>
        </w:rPr>
      </w:pPr>
      <w:r>
        <w:rPr>
          <w:sz w:val="20"/>
          <w:szCs w:val="20"/>
          <w:lang w:val="en-GB"/>
        </w:rPr>
        <w:t>While the outputs of employer engagement work can be of extremely high value to the employer, students and the HEI/FEC</w:t>
      </w:r>
      <w:r w:rsidR="000A7C92">
        <w:rPr>
          <w:sz w:val="20"/>
          <w:szCs w:val="20"/>
          <w:lang w:val="en-GB"/>
        </w:rPr>
        <w:t>,</w:t>
      </w:r>
      <w:r>
        <w:rPr>
          <w:sz w:val="20"/>
          <w:szCs w:val="20"/>
          <w:lang w:val="en-GB"/>
        </w:rPr>
        <w:t xml:space="preserve"> this is often time consuming work and staff salaries are one of the largest costs for HEI/FECs. Therefore when HEI/FEC managers are asked to approve and support employer engagement work they will be considering the alternative work that the member/s of staff concerned could be undertaking if not engaging with employers. Managers are judged by results and they need assistance in weighing competing demands for funds. If the costs of employer engagement work are unclear or escalate, delivery m</w:t>
      </w:r>
      <w:r w:rsidR="002D5FF9">
        <w:rPr>
          <w:sz w:val="20"/>
          <w:szCs w:val="20"/>
          <w:lang w:val="en-GB"/>
        </w:rPr>
        <w:t>a</w:t>
      </w:r>
      <w:r>
        <w:rPr>
          <w:sz w:val="20"/>
          <w:szCs w:val="20"/>
          <w:lang w:val="en-GB"/>
        </w:rPr>
        <w:t>y suffer or future developments may be resisted.</w:t>
      </w:r>
    </w:p>
    <w:p w14:paraId="193096DA" w14:textId="77777777" w:rsidR="00DF6332" w:rsidRDefault="00DF6332" w:rsidP="00E73DE3">
      <w:pPr>
        <w:spacing w:after="0"/>
        <w:ind w:left="720"/>
        <w:rPr>
          <w:sz w:val="20"/>
          <w:szCs w:val="20"/>
          <w:lang w:val="en-GB"/>
        </w:rPr>
      </w:pPr>
      <w:r w:rsidRPr="00D84C63">
        <w:rPr>
          <w:sz w:val="20"/>
          <w:szCs w:val="20"/>
          <w:u w:val="single"/>
          <w:lang w:val="en-GB"/>
        </w:rPr>
        <w:t>Mitigation</w:t>
      </w:r>
      <w:r>
        <w:rPr>
          <w:sz w:val="20"/>
          <w:szCs w:val="20"/>
          <w:lang w:val="en-GB"/>
        </w:rPr>
        <w:t xml:space="preserve">: the full cost of employer engagement work must be clear and agreed before plans become activity. In addition the nature and the value of all the planned and potential outputs must be clearly articulated for all relevant stakeholders. </w:t>
      </w:r>
    </w:p>
    <w:p w14:paraId="7817F82B" w14:textId="77777777" w:rsidR="001E482E" w:rsidRDefault="001E482E" w:rsidP="001E482E">
      <w:pPr>
        <w:spacing w:after="0"/>
        <w:rPr>
          <w:sz w:val="20"/>
          <w:szCs w:val="20"/>
          <w:lang w:val="en-GB"/>
        </w:rPr>
      </w:pPr>
    </w:p>
    <w:p w14:paraId="4A9874B1" w14:textId="77777777" w:rsidR="001D76F6" w:rsidRPr="001D76F6" w:rsidRDefault="001D76F6" w:rsidP="00E73DE3">
      <w:pPr>
        <w:pStyle w:val="ListParagraph"/>
        <w:numPr>
          <w:ilvl w:val="0"/>
          <w:numId w:val="9"/>
        </w:numPr>
        <w:spacing w:after="0"/>
        <w:rPr>
          <w:sz w:val="20"/>
          <w:szCs w:val="20"/>
          <w:u w:val="single"/>
          <w:lang w:val="en-GB"/>
        </w:rPr>
      </w:pPr>
      <w:r w:rsidRPr="001D76F6">
        <w:rPr>
          <w:sz w:val="20"/>
          <w:szCs w:val="20"/>
          <w:u w:val="single"/>
          <w:lang w:val="en-GB"/>
        </w:rPr>
        <w:t xml:space="preserve">Reputational enhancement </w:t>
      </w:r>
      <w:proofErr w:type="spellStart"/>
      <w:r w:rsidRPr="001D76F6">
        <w:rPr>
          <w:sz w:val="20"/>
          <w:szCs w:val="20"/>
          <w:u w:val="single"/>
          <w:lang w:val="en-GB"/>
        </w:rPr>
        <w:t>vs</w:t>
      </w:r>
      <w:proofErr w:type="spellEnd"/>
      <w:r w:rsidRPr="001D76F6">
        <w:rPr>
          <w:sz w:val="20"/>
          <w:szCs w:val="20"/>
          <w:u w:val="single"/>
          <w:lang w:val="en-GB"/>
        </w:rPr>
        <w:t xml:space="preserve"> reputational risk</w:t>
      </w:r>
    </w:p>
    <w:p w14:paraId="55C199DE" w14:textId="77777777" w:rsidR="000A7C92" w:rsidRDefault="001D76F6" w:rsidP="00E73DE3">
      <w:pPr>
        <w:pStyle w:val="ListParagraph"/>
        <w:spacing w:after="0"/>
        <w:rPr>
          <w:sz w:val="20"/>
          <w:szCs w:val="20"/>
          <w:lang w:val="en-GB"/>
        </w:rPr>
      </w:pPr>
      <w:r>
        <w:rPr>
          <w:sz w:val="20"/>
          <w:szCs w:val="20"/>
          <w:lang w:val="en-GB"/>
        </w:rPr>
        <w:t>Employers and HEI/FECs working in partner</w:t>
      </w:r>
      <w:r w:rsidR="005E3829">
        <w:rPr>
          <w:sz w:val="20"/>
          <w:szCs w:val="20"/>
          <w:lang w:val="en-GB"/>
        </w:rPr>
        <w:t>ship can bring mutual benefits</w:t>
      </w:r>
      <w:r>
        <w:rPr>
          <w:sz w:val="20"/>
          <w:szCs w:val="20"/>
          <w:lang w:val="en-GB"/>
        </w:rPr>
        <w:t xml:space="preserve">. Both parties may well wish to publicise their collaborative work and relationship to enhance their reputation. However, if either party fails to deliver on their side of the </w:t>
      </w:r>
      <w:r w:rsidR="002D5FF9">
        <w:rPr>
          <w:sz w:val="20"/>
          <w:szCs w:val="20"/>
          <w:lang w:val="en-GB"/>
        </w:rPr>
        <w:t xml:space="preserve">agreement </w:t>
      </w:r>
      <w:r>
        <w:rPr>
          <w:sz w:val="20"/>
          <w:szCs w:val="20"/>
          <w:lang w:val="en-GB"/>
        </w:rPr>
        <w:t>or attracts negative press coverage for unrelated activities</w:t>
      </w:r>
      <w:r w:rsidR="000A7C92">
        <w:rPr>
          <w:sz w:val="20"/>
          <w:szCs w:val="20"/>
          <w:lang w:val="en-GB"/>
        </w:rPr>
        <w:t>,</w:t>
      </w:r>
      <w:r>
        <w:rPr>
          <w:sz w:val="20"/>
          <w:szCs w:val="20"/>
          <w:lang w:val="en-GB"/>
        </w:rPr>
        <w:t xml:space="preserve"> the result will be the same. Reputations are built by what individuals and organisation</w:t>
      </w:r>
      <w:r w:rsidR="002D5FF9">
        <w:rPr>
          <w:sz w:val="20"/>
          <w:szCs w:val="20"/>
          <w:lang w:val="en-GB"/>
        </w:rPr>
        <w:t>s</w:t>
      </w:r>
      <w:r>
        <w:rPr>
          <w:sz w:val="20"/>
          <w:szCs w:val="20"/>
          <w:lang w:val="en-GB"/>
        </w:rPr>
        <w:t xml:space="preserve"> do and the company they keep. </w:t>
      </w:r>
    </w:p>
    <w:p w14:paraId="7F38C53E" w14:textId="77777777" w:rsidR="001D76F6" w:rsidRDefault="00D47D40" w:rsidP="00E73DE3">
      <w:pPr>
        <w:pStyle w:val="ListParagraph"/>
        <w:spacing w:after="0"/>
        <w:rPr>
          <w:sz w:val="20"/>
          <w:szCs w:val="20"/>
          <w:lang w:val="en-GB"/>
        </w:rPr>
      </w:pPr>
      <w:r w:rsidRPr="00D47D40">
        <w:rPr>
          <w:sz w:val="20"/>
          <w:szCs w:val="20"/>
          <w:u w:val="single"/>
          <w:lang w:val="en-GB"/>
        </w:rPr>
        <w:t>Mitigation</w:t>
      </w:r>
      <w:r>
        <w:rPr>
          <w:sz w:val="20"/>
          <w:szCs w:val="20"/>
          <w:lang w:val="en-GB"/>
        </w:rPr>
        <w:t xml:space="preserve">: it </w:t>
      </w:r>
      <w:r w:rsidR="001D76F6">
        <w:rPr>
          <w:sz w:val="20"/>
          <w:szCs w:val="20"/>
          <w:lang w:val="en-GB"/>
        </w:rPr>
        <w:t xml:space="preserve">is vital </w:t>
      </w:r>
      <w:r>
        <w:rPr>
          <w:sz w:val="20"/>
          <w:szCs w:val="20"/>
          <w:lang w:val="en-GB"/>
        </w:rPr>
        <w:t>for both</w:t>
      </w:r>
      <w:r w:rsidR="001D76F6">
        <w:rPr>
          <w:sz w:val="20"/>
          <w:szCs w:val="20"/>
          <w:lang w:val="en-GB"/>
        </w:rPr>
        <w:t xml:space="preserve"> employers and HEI/FECs </w:t>
      </w:r>
      <w:r>
        <w:rPr>
          <w:sz w:val="20"/>
          <w:szCs w:val="20"/>
          <w:lang w:val="en-GB"/>
        </w:rPr>
        <w:t>to understand</w:t>
      </w:r>
      <w:r w:rsidR="001D76F6">
        <w:rPr>
          <w:sz w:val="20"/>
          <w:szCs w:val="20"/>
          <w:lang w:val="en-GB"/>
        </w:rPr>
        <w:t xml:space="preserve"> </w:t>
      </w:r>
      <w:r>
        <w:rPr>
          <w:sz w:val="20"/>
          <w:szCs w:val="20"/>
          <w:lang w:val="en-GB"/>
        </w:rPr>
        <w:t xml:space="preserve">each </w:t>
      </w:r>
      <w:r w:rsidR="001E482E">
        <w:rPr>
          <w:sz w:val="20"/>
          <w:szCs w:val="20"/>
          <w:lang w:val="en-GB"/>
        </w:rPr>
        <w:t>other’s history</w:t>
      </w:r>
      <w:r w:rsidR="001D76F6">
        <w:rPr>
          <w:sz w:val="20"/>
          <w:szCs w:val="20"/>
          <w:lang w:val="en-GB"/>
        </w:rPr>
        <w:t xml:space="preserve">, culture and </w:t>
      </w:r>
      <w:r>
        <w:rPr>
          <w:sz w:val="20"/>
          <w:szCs w:val="20"/>
          <w:lang w:val="en-GB"/>
        </w:rPr>
        <w:t xml:space="preserve">overall operation concerning the </w:t>
      </w:r>
      <w:r w:rsidR="001E482E">
        <w:rPr>
          <w:sz w:val="20"/>
          <w:szCs w:val="20"/>
          <w:lang w:val="en-GB"/>
        </w:rPr>
        <w:t>proposed employer</w:t>
      </w:r>
      <w:r>
        <w:rPr>
          <w:sz w:val="20"/>
          <w:szCs w:val="20"/>
          <w:lang w:val="en-GB"/>
        </w:rPr>
        <w:t xml:space="preserve"> engagement work and wider context.</w:t>
      </w:r>
    </w:p>
    <w:p w14:paraId="3FF3D56F" w14:textId="77777777" w:rsidR="00D47D40" w:rsidRDefault="00D47D40" w:rsidP="001E482E">
      <w:pPr>
        <w:pStyle w:val="ListParagraph"/>
        <w:spacing w:after="0"/>
        <w:ind w:left="360"/>
        <w:rPr>
          <w:sz w:val="20"/>
          <w:szCs w:val="20"/>
          <w:lang w:val="en-GB"/>
        </w:rPr>
      </w:pPr>
    </w:p>
    <w:p w14:paraId="084FCB2F" w14:textId="77777777" w:rsidR="001D76F6" w:rsidRPr="001D76F6" w:rsidRDefault="001D76F6" w:rsidP="001E482E">
      <w:pPr>
        <w:spacing w:after="0"/>
        <w:rPr>
          <w:sz w:val="20"/>
          <w:szCs w:val="20"/>
          <w:lang w:val="en-GB"/>
        </w:rPr>
      </w:pPr>
    </w:p>
    <w:sectPr w:rsidR="001D76F6" w:rsidRPr="001D76F6" w:rsidSect="00974805">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EA949" w14:textId="77777777" w:rsidR="00A90655" w:rsidRDefault="00A90655" w:rsidP="003C7E31">
      <w:pPr>
        <w:spacing w:after="0" w:line="240" w:lineRule="auto"/>
      </w:pPr>
      <w:r>
        <w:separator/>
      </w:r>
    </w:p>
  </w:endnote>
  <w:endnote w:type="continuationSeparator" w:id="0">
    <w:p w14:paraId="52A17F6C" w14:textId="77777777" w:rsidR="00A90655" w:rsidRDefault="00A90655" w:rsidP="003C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5EEA" w14:textId="77777777" w:rsidR="00B46441" w:rsidRDefault="00B46441" w:rsidP="00A006A0">
    <w:pPr>
      <w:spacing w:after="0"/>
      <w:rPr>
        <w:rFonts w:ascii="Arial Narrow" w:hAnsi="Arial Narrow"/>
        <w:sz w:val="18"/>
        <w:szCs w:val="18"/>
      </w:rPr>
    </w:pPr>
  </w:p>
  <w:p w14:paraId="2BEB4034" w14:textId="77777777" w:rsidR="001C2068" w:rsidRDefault="001C2068" w:rsidP="00A006A0">
    <w:pPr>
      <w:spacing w:after="0"/>
      <w:rPr>
        <w:rFonts w:ascii="Arial Narrow" w:hAnsi="Arial Narrow"/>
        <w:sz w:val="18"/>
        <w:szCs w:val="18"/>
      </w:rPr>
    </w:pPr>
    <w:r w:rsidRPr="00A006A0">
      <w:rPr>
        <w:rFonts w:ascii="Arial Narrow" w:hAnsi="Arial Narrow"/>
        <w:noProof/>
        <w:sz w:val="18"/>
        <w:szCs w:val="18"/>
        <w:lang w:val="en-GB" w:eastAsia="en-GB"/>
      </w:rPr>
      <w:drawing>
        <wp:anchor distT="0" distB="0" distL="114300" distR="114300" simplePos="0" relativeHeight="251656704" behindDoc="1" locked="0" layoutInCell="1" allowOverlap="1" wp14:anchorId="527AC212" wp14:editId="4A74021B">
          <wp:simplePos x="0" y="0"/>
          <wp:positionH relativeFrom="column">
            <wp:posOffset>4436110</wp:posOffset>
          </wp:positionH>
          <wp:positionV relativeFrom="paragraph">
            <wp:posOffset>31115</wp:posOffset>
          </wp:positionV>
          <wp:extent cx="1682750" cy="636905"/>
          <wp:effectExtent l="0" t="0" r="0" b="0"/>
          <wp:wrapTight wrapText="bothSides">
            <wp:wrapPolygon edited="0">
              <wp:start x="0" y="0"/>
              <wp:lineTo x="0" y="20674"/>
              <wp:lineTo x="21274" y="20674"/>
              <wp:lineTo x="21274" y="0"/>
              <wp:lineTo x="0" y="0"/>
            </wp:wrapPolygon>
          </wp:wrapTight>
          <wp:docPr id="2" name="Picture 2" descr="Generi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36905"/>
                  </a:xfrm>
                  <a:prstGeom prst="rect">
                    <a:avLst/>
                  </a:prstGeom>
                  <a:noFill/>
                  <a:ln>
                    <a:noFill/>
                  </a:ln>
                </pic:spPr>
              </pic:pic>
            </a:graphicData>
          </a:graphic>
        </wp:anchor>
      </w:drawing>
    </w:r>
    <w:r w:rsidRPr="00A006A0">
      <w:rPr>
        <w:rFonts w:ascii="Arial Narrow" w:hAnsi="Arial Narrow"/>
        <w:sz w:val="18"/>
        <w:szCs w:val="18"/>
      </w:rPr>
      <w:t xml:space="preserve">This guide has been developed as part of the South West HE STEM Project 2011 - 12 </w:t>
    </w:r>
    <w:r>
      <w:rPr>
        <w:rFonts w:ascii="Arial Narrow" w:hAnsi="Arial Narrow"/>
        <w:sz w:val="18"/>
        <w:szCs w:val="18"/>
      </w:rPr>
      <w:tab/>
    </w:r>
    <w:r>
      <w:rPr>
        <w:rFonts w:ascii="Arial Narrow" w:hAnsi="Arial Narrow"/>
        <w:sz w:val="18"/>
        <w:szCs w:val="18"/>
      </w:rPr>
      <w:tab/>
    </w:r>
    <w:r w:rsidRPr="00A73863">
      <w:rPr>
        <w:rFonts w:ascii="Arial Narrow" w:hAnsi="Arial Narrow"/>
        <w:sz w:val="18"/>
        <w:szCs w:val="18"/>
      </w:rPr>
      <w:t xml:space="preserve">Page | </w:t>
    </w:r>
    <w:r w:rsidRPr="00A73863">
      <w:rPr>
        <w:rFonts w:ascii="Arial Narrow" w:hAnsi="Arial Narrow"/>
        <w:sz w:val="18"/>
        <w:szCs w:val="18"/>
      </w:rPr>
      <w:fldChar w:fldCharType="begin"/>
    </w:r>
    <w:r w:rsidRPr="00A73863">
      <w:rPr>
        <w:rFonts w:ascii="Arial Narrow" w:hAnsi="Arial Narrow"/>
        <w:sz w:val="18"/>
        <w:szCs w:val="18"/>
      </w:rPr>
      <w:instrText xml:space="preserve"> PAGE   \* MERGEFORMAT </w:instrText>
    </w:r>
    <w:r w:rsidRPr="00A73863">
      <w:rPr>
        <w:rFonts w:ascii="Arial Narrow" w:hAnsi="Arial Narrow"/>
        <w:sz w:val="18"/>
        <w:szCs w:val="18"/>
      </w:rPr>
      <w:fldChar w:fldCharType="separate"/>
    </w:r>
    <w:r w:rsidR="00593704">
      <w:rPr>
        <w:rFonts w:ascii="Arial Narrow" w:hAnsi="Arial Narrow"/>
        <w:noProof/>
        <w:sz w:val="18"/>
        <w:szCs w:val="18"/>
      </w:rPr>
      <w:t>1</w:t>
    </w:r>
    <w:r w:rsidRPr="00A73863">
      <w:rPr>
        <w:rFonts w:ascii="Arial Narrow" w:hAnsi="Arial Narrow"/>
        <w:noProof/>
        <w:sz w:val="18"/>
        <w:szCs w:val="18"/>
      </w:rPr>
      <w:fldChar w:fldCharType="end"/>
    </w:r>
  </w:p>
  <w:p w14:paraId="7B0AD4D7" w14:textId="77777777" w:rsidR="001C2068" w:rsidRDefault="001C2068" w:rsidP="00A73863">
    <w:pPr>
      <w:spacing w:after="0"/>
      <w:rPr>
        <w:rFonts w:ascii="Arial Narrow" w:hAnsi="Arial Narrow"/>
        <w:sz w:val="18"/>
        <w:szCs w:val="18"/>
      </w:rPr>
    </w:pPr>
    <w:proofErr w:type="gramStart"/>
    <w:r w:rsidRPr="00A006A0">
      <w:rPr>
        <w:rFonts w:ascii="Arial Narrow" w:hAnsi="Arial Narrow"/>
        <w:sz w:val="18"/>
        <w:szCs w:val="18"/>
      </w:rPr>
      <w:t>by</w:t>
    </w:r>
    <w:proofErr w:type="gramEnd"/>
    <w:r w:rsidRPr="00A006A0">
      <w:rPr>
        <w:rFonts w:ascii="Arial Narrow" w:hAnsi="Arial Narrow"/>
        <w:sz w:val="18"/>
        <w:szCs w:val="18"/>
      </w:rPr>
      <w:t xml:space="preserve"> Mark Stone, </w:t>
    </w:r>
    <w:r>
      <w:rPr>
        <w:rFonts w:ascii="Arial Narrow" w:hAnsi="Arial Narrow"/>
        <w:sz w:val="18"/>
        <w:szCs w:val="18"/>
      </w:rPr>
      <w:t>Plymouth University</w:t>
    </w:r>
    <w:r w:rsidRPr="00A006A0">
      <w:rPr>
        <w:rFonts w:ascii="Arial Narrow" w:hAnsi="Arial Narrow"/>
        <w:sz w:val="18"/>
        <w:szCs w:val="18"/>
      </w:rPr>
      <w:t>; and released under a</w:t>
    </w:r>
    <w:r>
      <w:rPr>
        <w:rFonts w:ascii="Arial Narrow" w:hAnsi="Arial Narrow"/>
        <w:sz w:val="18"/>
        <w:szCs w:val="18"/>
      </w:rPr>
      <w:t xml:space="preserve"> </w:t>
    </w:r>
    <w:r w:rsidRPr="00A006A0">
      <w:rPr>
        <w:rFonts w:ascii="Arial Narrow" w:hAnsi="Arial Narrow"/>
        <w:sz w:val="18"/>
        <w:szCs w:val="18"/>
      </w:rPr>
      <w:t xml:space="preserve">Creative Commons </w:t>
    </w:r>
  </w:p>
  <w:p w14:paraId="69944705" w14:textId="77777777" w:rsidR="001C2068" w:rsidRPr="00A006A0" w:rsidRDefault="001C2068" w:rsidP="00A006A0">
    <w:pPr>
      <w:spacing w:after="0"/>
      <w:ind w:left="720" w:firstLine="720"/>
      <w:rPr>
        <w:rFonts w:ascii="Arial Narrow" w:hAnsi="Arial Narrow"/>
        <w:sz w:val="18"/>
        <w:szCs w:val="18"/>
      </w:rPr>
    </w:pPr>
    <w:r w:rsidRPr="00A006A0">
      <w:rPr>
        <w:rFonts w:ascii="Helvetica" w:hAnsi="Helvetica"/>
        <w:noProof/>
        <w:color w:val="4374B7"/>
        <w:sz w:val="18"/>
        <w:szCs w:val="18"/>
        <w:lang w:val="en-GB" w:eastAsia="en-GB"/>
      </w:rPr>
      <w:drawing>
        <wp:anchor distT="0" distB="0" distL="114300" distR="114300" simplePos="0" relativeHeight="251657728" behindDoc="0" locked="0" layoutInCell="1" allowOverlap="1" wp14:anchorId="5F81B048" wp14:editId="0D549845">
          <wp:simplePos x="4781550" y="9721850"/>
          <wp:positionH relativeFrom="margin">
            <wp:align>left</wp:align>
          </wp:positionH>
          <wp:positionV relativeFrom="margin">
            <wp:posOffset>9440545</wp:posOffset>
          </wp:positionV>
          <wp:extent cx="838200" cy="298450"/>
          <wp:effectExtent l="0" t="0" r="0" b="6350"/>
          <wp:wrapSquare wrapText="bothSides"/>
          <wp:docPr id="4" name="Picture 4" descr="Creative Commons Licenc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A006A0">
      <w:rPr>
        <w:rFonts w:ascii="Arial Narrow" w:hAnsi="Arial Narrow"/>
        <w:sz w:val="18"/>
        <w:szCs w:val="18"/>
      </w:rPr>
      <w:t xml:space="preserve">- </w:t>
    </w:r>
    <w:r w:rsidRPr="00A006A0">
      <w:rPr>
        <w:rFonts w:ascii="Arial Narrow" w:hAnsi="Arial Narrow" w:cs="Arial"/>
        <w:sz w:val="18"/>
        <w:szCs w:val="18"/>
      </w:rPr>
      <w:t>Attribution - Non-Commercial - Share Alike (BY-NC-SA)</w:t>
    </w:r>
    <w:r w:rsidRPr="00A006A0">
      <w:rPr>
        <w:rFonts w:ascii="Arial Narrow" w:hAnsi="Arial Narrow"/>
        <w:sz w:val="18"/>
        <w:szCs w:val="18"/>
      </w:rPr>
      <w:t xml:space="preserve"> licence.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0A14D" w14:textId="77777777" w:rsidR="00A90655" w:rsidRDefault="00A90655" w:rsidP="003C7E31">
      <w:pPr>
        <w:spacing w:after="0" w:line="240" w:lineRule="auto"/>
      </w:pPr>
      <w:r>
        <w:separator/>
      </w:r>
    </w:p>
  </w:footnote>
  <w:footnote w:type="continuationSeparator" w:id="0">
    <w:p w14:paraId="539CD454" w14:textId="77777777" w:rsidR="00A90655" w:rsidRDefault="00A90655" w:rsidP="003C7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DA071" w14:textId="77777777" w:rsidR="001C2068" w:rsidRPr="0072600E" w:rsidRDefault="001C2068" w:rsidP="004131F3">
    <w:pPr>
      <w:pStyle w:val="Header"/>
      <w:jc w:val="center"/>
      <w:rPr>
        <w:rFonts w:ascii="Arial Narrow" w:hAnsi="Arial Narrow" w:cs="Arial"/>
        <w:bCs/>
        <w:color w:val="FFFFFF" w:themeColor="background1"/>
        <w:sz w:val="32"/>
        <w:szCs w:val="32"/>
      </w:rPr>
    </w:pPr>
    <w:r>
      <w:rPr>
        <w:rFonts w:ascii="Arial Narrow" w:hAnsi="Arial Narrow" w:cs="Arial"/>
        <w:bCs/>
        <w:color w:val="FFFFFF" w:themeColor="background1"/>
        <w:sz w:val="32"/>
        <w:szCs w:val="32"/>
        <w:highlight w:val="black"/>
      </w:rPr>
      <w:t xml:space="preserve"> * Employer E</w:t>
    </w:r>
    <w:r w:rsidRPr="0072600E">
      <w:rPr>
        <w:rFonts w:ascii="Arial Narrow" w:hAnsi="Arial Narrow" w:cs="Arial"/>
        <w:bCs/>
        <w:color w:val="FFFFFF" w:themeColor="background1"/>
        <w:sz w:val="32"/>
        <w:szCs w:val="32"/>
        <w:highlight w:val="black"/>
      </w:rPr>
      <w:t xml:space="preserve">ngagement </w:t>
    </w:r>
    <w:r>
      <w:rPr>
        <w:rFonts w:ascii="Arial Narrow" w:hAnsi="Arial Narrow" w:cs="Arial"/>
        <w:bCs/>
        <w:color w:val="FFFFFF" w:themeColor="background1"/>
        <w:sz w:val="32"/>
        <w:szCs w:val="32"/>
        <w:highlight w:val="black"/>
      </w:rPr>
      <w:t>T</w:t>
    </w:r>
    <w:r w:rsidRPr="0072600E">
      <w:rPr>
        <w:rFonts w:ascii="Arial Narrow" w:hAnsi="Arial Narrow" w:cs="Arial"/>
        <w:bCs/>
        <w:color w:val="FFFFFF" w:themeColor="background1"/>
        <w:sz w:val="32"/>
        <w:szCs w:val="32"/>
        <w:highlight w:val="black"/>
      </w:rPr>
      <w:t>oolkit: workflows, protocols and risk assessment *</w:t>
    </w:r>
    <w:r w:rsidRPr="0072600E">
      <w:rPr>
        <w:rFonts w:ascii="Arial Narrow" w:hAnsi="Arial Narrow" w:cs="Arial"/>
        <w:bCs/>
        <w:sz w:val="32"/>
        <w:szCs w:val="32"/>
        <w:highlight w:val="black"/>
      </w:rPr>
      <w:t>,</w:t>
    </w:r>
  </w:p>
  <w:p w14:paraId="7CD0F1E1" w14:textId="77777777" w:rsidR="001C2068" w:rsidRPr="00E73DE3" w:rsidRDefault="001C2068" w:rsidP="004131F3">
    <w:pPr>
      <w:pStyle w:val="Header"/>
      <w:rPr>
        <w:rFonts w:ascii="Arial Narrow" w:hAnsi="Arial Narrow"/>
        <w:bCs/>
        <w:color w:val="FFFFFF" w:themeColor="background1"/>
        <w:sz w:val="20"/>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0502"/>
    <w:multiLevelType w:val="multilevel"/>
    <w:tmpl w:val="2D86B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77532C3"/>
    <w:multiLevelType w:val="hybridMultilevel"/>
    <w:tmpl w:val="BFA6F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75E258C"/>
    <w:multiLevelType w:val="hybridMultilevel"/>
    <w:tmpl w:val="B3126282"/>
    <w:lvl w:ilvl="0" w:tplc="CE2883DA">
      <w:start w:val="1"/>
      <w:numFmt w:val="bullet"/>
      <w:lvlText w:val=""/>
      <w:lvlJc w:val="left"/>
      <w:pPr>
        <w:ind w:left="405" w:hanging="360"/>
      </w:pPr>
      <w:rPr>
        <w:rFonts w:ascii="Symbol" w:eastAsiaTheme="minorEastAsia" w:hAnsi="Symbol" w:cstheme="minorBidi" w:hint="default"/>
        <w:color w:val="auto"/>
        <w:sz w:val="22"/>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4AA72B10"/>
    <w:multiLevelType w:val="hybridMultilevel"/>
    <w:tmpl w:val="754C8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3E135FB"/>
    <w:multiLevelType w:val="hybridMultilevel"/>
    <w:tmpl w:val="35D0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3F80ADE"/>
    <w:multiLevelType w:val="hybridMultilevel"/>
    <w:tmpl w:val="2D86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E65740"/>
    <w:multiLevelType w:val="hybridMultilevel"/>
    <w:tmpl w:val="F2DA1A9E"/>
    <w:lvl w:ilvl="0" w:tplc="81E48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014974"/>
    <w:multiLevelType w:val="hybridMultilevel"/>
    <w:tmpl w:val="4BF8BF40"/>
    <w:lvl w:ilvl="0" w:tplc="81E48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32047"/>
    <w:multiLevelType w:val="hybridMultilevel"/>
    <w:tmpl w:val="F2F2F8A0"/>
    <w:lvl w:ilvl="0" w:tplc="81E48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31"/>
    <w:rsid w:val="0000092F"/>
    <w:rsid w:val="00005855"/>
    <w:rsid w:val="00011639"/>
    <w:rsid w:val="0005037E"/>
    <w:rsid w:val="000A7C92"/>
    <w:rsid w:val="001C2068"/>
    <w:rsid w:val="001D76F6"/>
    <w:rsid w:val="001E482E"/>
    <w:rsid w:val="00293090"/>
    <w:rsid w:val="002C1BB5"/>
    <w:rsid w:val="002C53A6"/>
    <w:rsid w:val="002D5FF9"/>
    <w:rsid w:val="002E5523"/>
    <w:rsid w:val="00337D54"/>
    <w:rsid w:val="00341D3E"/>
    <w:rsid w:val="00350A33"/>
    <w:rsid w:val="00372CD6"/>
    <w:rsid w:val="003849B8"/>
    <w:rsid w:val="003C7207"/>
    <w:rsid w:val="003C7E31"/>
    <w:rsid w:val="003D40F4"/>
    <w:rsid w:val="003F53CD"/>
    <w:rsid w:val="004131F3"/>
    <w:rsid w:val="0045240B"/>
    <w:rsid w:val="004612CD"/>
    <w:rsid w:val="00514F20"/>
    <w:rsid w:val="00526DE2"/>
    <w:rsid w:val="0053455E"/>
    <w:rsid w:val="00572984"/>
    <w:rsid w:val="00593704"/>
    <w:rsid w:val="005C1727"/>
    <w:rsid w:val="005C3D31"/>
    <w:rsid w:val="005D1691"/>
    <w:rsid w:val="005E3829"/>
    <w:rsid w:val="00615899"/>
    <w:rsid w:val="00653CE8"/>
    <w:rsid w:val="00681B3A"/>
    <w:rsid w:val="006B6A30"/>
    <w:rsid w:val="006C2BAC"/>
    <w:rsid w:val="006C51EB"/>
    <w:rsid w:val="00712308"/>
    <w:rsid w:val="007451D9"/>
    <w:rsid w:val="00771AE2"/>
    <w:rsid w:val="007A4E63"/>
    <w:rsid w:val="007D3FE7"/>
    <w:rsid w:val="007F18AA"/>
    <w:rsid w:val="00815008"/>
    <w:rsid w:val="00833629"/>
    <w:rsid w:val="0085799C"/>
    <w:rsid w:val="008901AF"/>
    <w:rsid w:val="008A68D8"/>
    <w:rsid w:val="008B1239"/>
    <w:rsid w:val="008C1F54"/>
    <w:rsid w:val="008E6929"/>
    <w:rsid w:val="008F471A"/>
    <w:rsid w:val="00901367"/>
    <w:rsid w:val="00907F3C"/>
    <w:rsid w:val="0094125E"/>
    <w:rsid w:val="00973BFE"/>
    <w:rsid w:val="00974805"/>
    <w:rsid w:val="009C0B5F"/>
    <w:rsid w:val="009F157B"/>
    <w:rsid w:val="00A006A0"/>
    <w:rsid w:val="00A00BD7"/>
    <w:rsid w:val="00A73863"/>
    <w:rsid w:val="00A869DB"/>
    <w:rsid w:val="00A879F1"/>
    <w:rsid w:val="00A90655"/>
    <w:rsid w:val="00B035C1"/>
    <w:rsid w:val="00B253E3"/>
    <w:rsid w:val="00B46441"/>
    <w:rsid w:val="00B92E3C"/>
    <w:rsid w:val="00B9689C"/>
    <w:rsid w:val="00BF1D0E"/>
    <w:rsid w:val="00C77694"/>
    <w:rsid w:val="00CB7468"/>
    <w:rsid w:val="00CD455E"/>
    <w:rsid w:val="00CD7B9B"/>
    <w:rsid w:val="00D020F4"/>
    <w:rsid w:val="00D034A0"/>
    <w:rsid w:val="00D3411E"/>
    <w:rsid w:val="00D47D40"/>
    <w:rsid w:val="00D56226"/>
    <w:rsid w:val="00D70EDF"/>
    <w:rsid w:val="00D84C63"/>
    <w:rsid w:val="00DA68C8"/>
    <w:rsid w:val="00DB58B1"/>
    <w:rsid w:val="00DF6332"/>
    <w:rsid w:val="00E73DE3"/>
    <w:rsid w:val="00E831EB"/>
    <w:rsid w:val="00E841F3"/>
    <w:rsid w:val="00E911D5"/>
    <w:rsid w:val="00F064BE"/>
    <w:rsid w:val="00F910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E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31"/>
  </w:style>
  <w:style w:type="paragraph" w:styleId="Footer">
    <w:name w:val="footer"/>
    <w:basedOn w:val="Normal"/>
    <w:link w:val="FooterChar"/>
    <w:uiPriority w:val="99"/>
    <w:unhideWhenUsed/>
    <w:rsid w:val="003C7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31"/>
  </w:style>
  <w:style w:type="paragraph" w:styleId="BalloonText">
    <w:name w:val="Balloon Text"/>
    <w:basedOn w:val="Normal"/>
    <w:link w:val="BalloonTextChar"/>
    <w:uiPriority w:val="99"/>
    <w:semiHidden/>
    <w:unhideWhenUsed/>
    <w:rsid w:val="00A0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A0"/>
    <w:rPr>
      <w:rFonts w:ascii="Tahoma" w:hAnsi="Tahoma" w:cs="Tahoma"/>
      <w:sz w:val="16"/>
      <w:szCs w:val="16"/>
    </w:rPr>
  </w:style>
  <w:style w:type="paragraph" w:styleId="ListParagraph">
    <w:name w:val="List Paragraph"/>
    <w:basedOn w:val="Normal"/>
    <w:uiPriority w:val="34"/>
    <w:qFormat/>
    <w:rsid w:val="007A4E63"/>
    <w:pPr>
      <w:ind w:left="720"/>
      <w:contextualSpacing/>
    </w:pPr>
  </w:style>
  <w:style w:type="table" w:styleId="TableGrid">
    <w:name w:val="Table Grid"/>
    <w:basedOn w:val="TableNormal"/>
    <w:uiPriority w:val="59"/>
    <w:rsid w:val="007A4E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nc-sa/2.0/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FACC-6F93-4736-A042-064F82A7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61280800.dotm</Template>
  <TotalTime>1</TotalTime>
  <Pages>3</Pages>
  <Words>1582</Words>
  <Characters>9018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Stone</dc:creator>
  <cp:lastModifiedBy>Ruth Waring</cp:lastModifiedBy>
  <cp:revision>2</cp:revision>
  <cp:lastPrinted>2012-01-20T09:43:00Z</cp:lastPrinted>
  <dcterms:created xsi:type="dcterms:W3CDTF">2012-07-09T16:27:00Z</dcterms:created>
  <dcterms:modified xsi:type="dcterms:W3CDTF">2012-07-09T16:27:00Z</dcterms:modified>
</cp:coreProperties>
</file>