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B9" w:rsidRPr="00D445BF" w:rsidRDefault="009156E0">
      <w:pPr>
        <w:rPr>
          <w:color w:val="FF0000"/>
          <w:sz w:val="32"/>
          <w:szCs w:val="32"/>
        </w:rPr>
      </w:pPr>
      <w:r w:rsidRPr="00D445BF">
        <w:rPr>
          <w:noProof/>
          <w:color w:val="FF0000"/>
          <w:sz w:val="36"/>
          <w:szCs w:val="36"/>
        </w:rPr>
        <w:drawing>
          <wp:anchor distT="0" distB="0" distL="114300" distR="114300" simplePos="0" relativeHeight="251662336" behindDoc="0" locked="0" layoutInCell="1" allowOverlap="1" wp14:anchorId="703350B0" wp14:editId="7BAB5D2E">
            <wp:simplePos x="0" y="0"/>
            <wp:positionH relativeFrom="column">
              <wp:posOffset>4048125</wp:posOffset>
            </wp:positionH>
            <wp:positionV relativeFrom="paragraph">
              <wp:posOffset>-619125</wp:posOffset>
            </wp:positionV>
            <wp:extent cx="1979295" cy="754380"/>
            <wp:effectExtent l="0" t="0" r="1905" b="762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 STEM Logo.bmp"/>
                    <pic:cNvPicPr/>
                  </pic:nvPicPr>
                  <pic:blipFill rotWithShape="1">
                    <a:blip r:embed="rId8" cstate="print">
                      <a:extLst>
                        <a:ext uri="{28A0092B-C50C-407E-A947-70E740481C1C}">
                          <a14:useLocalDpi xmlns:a14="http://schemas.microsoft.com/office/drawing/2010/main" val="0"/>
                        </a:ext>
                      </a:extLst>
                    </a:blip>
                    <a:srcRect r="36011" b="71523"/>
                    <a:stretch/>
                  </pic:blipFill>
                  <pic:spPr bwMode="auto">
                    <a:xfrm>
                      <a:off x="0" y="0"/>
                      <a:ext cx="1979295" cy="754380"/>
                    </a:xfrm>
                    <a:prstGeom prst="rect">
                      <a:avLst/>
                    </a:prstGeom>
                    <a:ln>
                      <a:noFill/>
                    </a:ln>
                    <a:extLst>
                      <a:ext uri="{53640926-AAD7-44D8-BBD7-CCE9431645EC}">
                        <a14:shadowObscured xmlns:a14="http://schemas.microsoft.com/office/drawing/2010/main"/>
                      </a:ext>
                    </a:extLst>
                  </pic:spPr>
                </pic:pic>
              </a:graphicData>
            </a:graphic>
          </wp:anchor>
        </w:drawing>
      </w:r>
      <w:r w:rsidR="000B0FD3" w:rsidRPr="00D445BF">
        <w:rPr>
          <w:noProof/>
          <w:color w:val="FF0000"/>
          <w:sz w:val="36"/>
          <w:szCs w:val="36"/>
        </w:rPr>
        <w:drawing>
          <wp:anchor distT="0" distB="0" distL="114300" distR="114300" simplePos="0" relativeHeight="251659264" behindDoc="0" locked="0" layoutInCell="1" allowOverlap="1" wp14:anchorId="7822A79E" wp14:editId="6485469E">
            <wp:simplePos x="0" y="0"/>
            <wp:positionH relativeFrom="column">
              <wp:posOffset>-334010</wp:posOffset>
            </wp:positionH>
            <wp:positionV relativeFrom="paragraph">
              <wp:posOffset>-914400</wp:posOffset>
            </wp:positionV>
            <wp:extent cx="2474595" cy="70866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o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4595" cy="708660"/>
                    </a:xfrm>
                    <a:prstGeom prst="rect">
                      <a:avLst/>
                    </a:prstGeom>
                  </pic:spPr>
                </pic:pic>
              </a:graphicData>
            </a:graphic>
          </wp:anchor>
        </w:drawing>
      </w:r>
      <w:r w:rsidR="000B0FD3" w:rsidRPr="00D445BF">
        <w:rPr>
          <w:noProof/>
          <w:color w:val="FF0000"/>
          <w:sz w:val="36"/>
          <w:szCs w:val="36"/>
        </w:rPr>
        <w:drawing>
          <wp:anchor distT="0" distB="0" distL="114300" distR="114300" simplePos="0" relativeHeight="251661312" behindDoc="0" locked="0" layoutInCell="1" allowOverlap="1" wp14:anchorId="67F2FCBA" wp14:editId="6FD669E6">
            <wp:simplePos x="0" y="0"/>
            <wp:positionH relativeFrom="column">
              <wp:posOffset>-907415</wp:posOffset>
            </wp:positionH>
            <wp:positionV relativeFrom="paragraph">
              <wp:posOffset>-914400</wp:posOffset>
            </wp:positionV>
            <wp:extent cx="571500" cy="15430500"/>
            <wp:effectExtent l="0" t="0" r="0" b="0"/>
            <wp:wrapSquare wrapText="right"/>
            <wp:docPr id="3" name="Picture 3" descr="PETROC_PAT_RGB_Stri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C_PAT_RGB_Strip_"/>
                    <pic:cNvPicPr>
                      <a:picLocks noChangeAspect="1" noChangeArrowheads="1"/>
                    </pic:cNvPicPr>
                  </pic:nvPicPr>
                  <pic:blipFill>
                    <a:blip r:embed="rId10" cstate="print"/>
                    <a:srcRect/>
                    <a:stretch>
                      <a:fillRect/>
                    </a:stretch>
                  </pic:blipFill>
                  <pic:spPr bwMode="auto">
                    <a:xfrm>
                      <a:off x="0" y="0"/>
                      <a:ext cx="571500" cy="15430500"/>
                    </a:xfrm>
                    <a:prstGeom prst="rect">
                      <a:avLst/>
                    </a:prstGeom>
                    <a:noFill/>
                    <a:ln w="9525">
                      <a:noFill/>
                      <a:miter lim="800000"/>
                      <a:headEnd/>
                      <a:tailEnd/>
                    </a:ln>
                  </pic:spPr>
                </pic:pic>
              </a:graphicData>
            </a:graphic>
          </wp:anchor>
        </w:drawing>
      </w:r>
      <w:r w:rsidR="000D2CB9" w:rsidRPr="00D445BF">
        <w:rPr>
          <w:color w:val="FF0000"/>
          <w:sz w:val="32"/>
          <w:szCs w:val="32"/>
        </w:rPr>
        <w:t xml:space="preserve"> </w:t>
      </w:r>
    </w:p>
    <w:p w:rsidR="00364E1F" w:rsidRPr="00D445BF" w:rsidRDefault="00D445BF">
      <w:pPr>
        <w:rPr>
          <w:b/>
          <w:sz w:val="36"/>
          <w:szCs w:val="36"/>
        </w:rPr>
      </w:pPr>
      <w:r>
        <w:rPr>
          <w:b/>
          <w:sz w:val="32"/>
          <w:szCs w:val="32"/>
        </w:rPr>
        <w:t xml:space="preserve">National HE STEM Project: </w:t>
      </w:r>
      <w:r w:rsidR="00E16765" w:rsidRPr="00D445BF">
        <w:rPr>
          <w:b/>
          <w:sz w:val="32"/>
          <w:szCs w:val="32"/>
        </w:rPr>
        <w:t>Progressing from Labour Market I</w:t>
      </w:r>
      <w:r w:rsidR="000D2CB9" w:rsidRPr="00D445BF">
        <w:rPr>
          <w:b/>
          <w:sz w:val="32"/>
          <w:szCs w:val="32"/>
        </w:rPr>
        <w:t xml:space="preserve">ntelligence to Higher Education </w:t>
      </w:r>
      <w:r w:rsidR="00E16765" w:rsidRPr="00D445BF">
        <w:rPr>
          <w:b/>
          <w:sz w:val="32"/>
          <w:szCs w:val="32"/>
        </w:rPr>
        <w:t>Level Provision that</w:t>
      </w:r>
      <w:r>
        <w:rPr>
          <w:b/>
          <w:sz w:val="32"/>
          <w:szCs w:val="32"/>
        </w:rPr>
        <w:t xml:space="preserve"> is well s</w:t>
      </w:r>
      <w:bookmarkStart w:id="0" w:name="_GoBack"/>
      <w:bookmarkEnd w:id="0"/>
      <w:r>
        <w:rPr>
          <w:b/>
          <w:sz w:val="32"/>
          <w:szCs w:val="32"/>
        </w:rPr>
        <w:t>upported by Employers</w:t>
      </w:r>
    </w:p>
    <w:tbl>
      <w:tblPr>
        <w:tblpPr w:leftFromText="180" w:rightFromText="180" w:vertAnchor="text" w:horzAnchor="margin" w:tblpY="50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7457"/>
      </w:tblGrid>
      <w:tr w:rsidR="00643F3C" w:rsidRPr="00D445BF" w:rsidTr="00643F3C">
        <w:trPr>
          <w:trHeight w:val="1255"/>
        </w:trPr>
        <w:tc>
          <w:tcPr>
            <w:tcW w:w="2463" w:type="dxa"/>
          </w:tcPr>
          <w:p w:rsidR="00D863B7" w:rsidRPr="00D445BF" w:rsidRDefault="00D863B7" w:rsidP="00643F3C">
            <w:pPr>
              <w:rPr>
                <w:b/>
                <w:sz w:val="20"/>
                <w:szCs w:val="20"/>
              </w:rPr>
            </w:pPr>
          </w:p>
          <w:p w:rsidR="00643F3C" w:rsidRPr="00D445BF" w:rsidRDefault="00643F3C" w:rsidP="00643F3C">
            <w:pPr>
              <w:rPr>
                <w:b/>
                <w:sz w:val="20"/>
                <w:szCs w:val="20"/>
              </w:rPr>
            </w:pPr>
            <w:r w:rsidRPr="00D445BF">
              <w:rPr>
                <w:b/>
                <w:sz w:val="20"/>
                <w:szCs w:val="20"/>
              </w:rPr>
              <w:t xml:space="preserve">Case Study title </w:t>
            </w:r>
          </w:p>
        </w:tc>
        <w:tc>
          <w:tcPr>
            <w:tcW w:w="7457" w:type="dxa"/>
          </w:tcPr>
          <w:p w:rsidR="00D863B7" w:rsidRPr="00D445BF" w:rsidRDefault="00D863B7" w:rsidP="00643F3C">
            <w:pPr>
              <w:rPr>
                <w:b/>
                <w:sz w:val="20"/>
                <w:szCs w:val="20"/>
              </w:rPr>
            </w:pPr>
          </w:p>
          <w:p w:rsidR="00D863B7" w:rsidRPr="00D445BF" w:rsidRDefault="001A0F8E" w:rsidP="00643F3C">
            <w:pPr>
              <w:rPr>
                <w:b/>
                <w:sz w:val="20"/>
                <w:szCs w:val="20"/>
              </w:rPr>
            </w:pPr>
            <w:r w:rsidRPr="00D445BF">
              <w:rPr>
                <w:b/>
                <w:sz w:val="20"/>
                <w:szCs w:val="20"/>
              </w:rPr>
              <w:t xml:space="preserve"> Successful </w:t>
            </w:r>
            <w:r w:rsidR="00D863B7" w:rsidRPr="00D445BF">
              <w:rPr>
                <w:b/>
                <w:sz w:val="20"/>
                <w:szCs w:val="20"/>
              </w:rPr>
              <w:t>Business Interchange</w:t>
            </w:r>
          </w:p>
        </w:tc>
      </w:tr>
      <w:tr w:rsidR="00643F3C" w:rsidRPr="00D445BF" w:rsidTr="00643F3C">
        <w:trPr>
          <w:trHeight w:val="3939"/>
        </w:trPr>
        <w:tc>
          <w:tcPr>
            <w:tcW w:w="2463" w:type="dxa"/>
          </w:tcPr>
          <w:p w:rsidR="00643F3C" w:rsidRPr="00D445BF" w:rsidRDefault="00643F3C" w:rsidP="00643F3C">
            <w:pPr>
              <w:rPr>
                <w:sz w:val="20"/>
                <w:szCs w:val="20"/>
              </w:rPr>
            </w:pPr>
            <w:r w:rsidRPr="00D445BF">
              <w:rPr>
                <w:sz w:val="20"/>
                <w:szCs w:val="20"/>
              </w:rPr>
              <w:t>Evaluation Themes</w:t>
            </w:r>
          </w:p>
          <w:p w:rsidR="00643F3C" w:rsidRPr="00D445BF" w:rsidRDefault="00643F3C" w:rsidP="00643F3C">
            <w:pPr>
              <w:rPr>
                <w:sz w:val="20"/>
                <w:szCs w:val="20"/>
              </w:rPr>
            </w:pPr>
          </w:p>
          <w:p w:rsidR="00643F3C" w:rsidRPr="00D445BF" w:rsidRDefault="00643F3C" w:rsidP="00643F3C">
            <w:pPr>
              <w:rPr>
                <w:rFonts w:ascii="Tahoma" w:hAnsi="Tahoma" w:cs="Tahoma"/>
                <w:sz w:val="20"/>
                <w:szCs w:val="20"/>
              </w:rPr>
            </w:pPr>
          </w:p>
          <w:p w:rsidR="00643F3C" w:rsidRPr="00D445BF" w:rsidRDefault="00643F3C" w:rsidP="00643F3C">
            <w:pPr>
              <w:rPr>
                <w:sz w:val="20"/>
                <w:szCs w:val="20"/>
              </w:rPr>
            </w:pPr>
          </w:p>
          <w:p w:rsidR="00643F3C" w:rsidRPr="00D445BF" w:rsidRDefault="00643F3C" w:rsidP="00643F3C">
            <w:pPr>
              <w:rPr>
                <w:sz w:val="20"/>
                <w:szCs w:val="20"/>
              </w:rPr>
            </w:pPr>
          </w:p>
        </w:tc>
        <w:tc>
          <w:tcPr>
            <w:tcW w:w="7457" w:type="dxa"/>
          </w:tcPr>
          <w:p w:rsidR="00483120" w:rsidRPr="00D445BF" w:rsidRDefault="003F7F5A" w:rsidP="003F7F5A">
            <w:pPr>
              <w:pStyle w:val="ListParagraph"/>
              <w:numPr>
                <w:ilvl w:val="0"/>
                <w:numId w:val="7"/>
              </w:numPr>
              <w:rPr>
                <w:sz w:val="20"/>
                <w:szCs w:val="20"/>
              </w:rPr>
            </w:pPr>
            <w:r w:rsidRPr="00D445BF">
              <w:rPr>
                <w:sz w:val="20"/>
                <w:szCs w:val="20"/>
              </w:rPr>
              <w:t>Buildi</w:t>
            </w:r>
            <w:r w:rsidR="009C0F96" w:rsidRPr="00D445BF">
              <w:rPr>
                <w:sz w:val="20"/>
                <w:szCs w:val="20"/>
              </w:rPr>
              <w:t>ng P</w:t>
            </w:r>
            <w:r w:rsidR="00483120" w:rsidRPr="00D445BF">
              <w:rPr>
                <w:sz w:val="20"/>
                <w:szCs w:val="20"/>
              </w:rPr>
              <w:t>artnerships</w:t>
            </w:r>
          </w:p>
          <w:p w:rsidR="009C0F96" w:rsidRPr="00D445BF" w:rsidRDefault="00483120" w:rsidP="00632A0D">
            <w:pPr>
              <w:pStyle w:val="ListParagraph"/>
              <w:rPr>
                <w:sz w:val="20"/>
                <w:szCs w:val="20"/>
              </w:rPr>
            </w:pPr>
            <w:r w:rsidRPr="00D445BF">
              <w:rPr>
                <w:sz w:val="20"/>
                <w:szCs w:val="20"/>
              </w:rPr>
              <w:t xml:space="preserve"> </w:t>
            </w:r>
            <w:proofErr w:type="spellStart"/>
            <w:r w:rsidRPr="00D445BF">
              <w:rPr>
                <w:sz w:val="20"/>
                <w:szCs w:val="20"/>
              </w:rPr>
              <w:t>Petroc</w:t>
            </w:r>
            <w:proofErr w:type="spellEnd"/>
            <w:r w:rsidRPr="00D445BF">
              <w:rPr>
                <w:sz w:val="20"/>
                <w:szCs w:val="20"/>
              </w:rPr>
              <w:t xml:space="preserve"> and TDK </w:t>
            </w:r>
            <w:proofErr w:type="spellStart"/>
            <w:r w:rsidRPr="00D445BF">
              <w:rPr>
                <w:sz w:val="20"/>
                <w:szCs w:val="20"/>
              </w:rPr>
              <w:t>Lamda</w:t>
            </w:r>
            <w:proofErr w:type="spellEnd"/>
            <w:r w:rsidRPr="00D445BF">
              <w:rPr>
                <w:sz w:val="20"/>
                <w:szCs w:val="20"/>
              </w:rPr>
              <w:t xml:space="preserve"> </w:t>
            </w:r>
            <w:r w:rsidR="00352F66" w:rsidRPr="00D445BF">
              <w:rPr>
                <w:sz w:val="20"/>
                <w:szCs w:val="20"/>
              </w:rPr>
              <w:t>have worked</w:t>
            </w:r>
            <w:r w:rsidRPr="00D445BF">
              <w:rPr>
                <w:sz w:val="20"/>
                <w:szCs w:val="20"/>
              </w:rPr>
              <w:t xml:space="preserve"> in pa</w:t>
            </w:r>
            <w:r w:rsidR="00D445BF">
              <w:rPr>
                <w:sz w:val="20"/>
                <w:szCs w:val="20"/>
              </w:rPr>
              <w:t>rtnership for over twenty years</w:t>
            </w:r>
            <w:r w:rsidRPr="00D445BF">
              <w:rPr>
                <w:sz w:val="20"/>
                <w:szCs w:val="20"/>
              </w:rPr>
              <w:t>.</w:t>
            </w:r>
          </w:p>
          <w:p w:rsidR="00443AE2" w:rsidRPr="00D445BF" w:rsidRDefault="00483120" w:rsidP="00632A0D">
            <w:pPr>
              <w:pStyle w:val="ListParagraph"/>
              <w:rPr>
                <w:sz w:val="20"/>
                <w:szCs w:val="20"/>
              </w:rPr>
            </w:pPr>
            <w:r w:rsidRPr="00D445BF">
              <w:rPr>
                <w:sz w:val="20"/>
                <w:szCs w:val="20"/>
              </w:rPr>
              <w:t xml:space="preserve"> The two organisations </w:t>
            </w:r>
            <w:r w:rsidR="00352F66" w:rsidRPr="00D445BF">
              <w:rPr>
                <w:sz w:val="20"/>
                <w:szCs w:val="20"/>
              </w:rPr>
              <w:t>have collaborated to</w:t>
            </w:r>
            <w:r w:rsidRPr="00D445BF">
              <w:rPr>
                <w:sz w:val="20"/>
                <w:szCs w:val="20"/>
              </w:rPr>
              <w:t xml:space="preserve"> ensure effective knowledge and technology transfer. Learning conversations have taken place that have facilitated the continuing professional development of Petroc teaching and support staff</w:t>
            </w:r>
            <w:r w:rsidR="009C0F96" w:rsidRPr="00D445BF">
              <w:rPr>
                <w:sz w:val="20"/>
                <w:szCs w:val="20"/>
              </w:rPr>
              <w:t xml:space="preserve"> and the workforce</w:t>
            </w:r>
            <w:r w:rsidR="00F21D20" w:rsidRPr="00D445BF">
              <w:rPr>
                <w:sz w:val="20"/>
                <w:szCs w:val="20"/>
              </w:rPr>
              <w:t xml:space="preserve"> at TDK Lambda. Staff at both organisations</w:t>
            </w:r>
            <w:r w:rsidRPr="00D445BF">
              <w:rPr>
                <w:sz w:val="20"/>
                <w:szCs w:val="20"/>
              </w:rPr>
              <w:t xml:space="preserve"> </w:t>
            </w:r>
            <w:r w:rsidR="00F21D20" w:rsidRPr="00D445BF">
              <w:rPr>
                <w:sz w:val="20"/>
                <w:szCs w:val="20"/>
              </w:rPr>
              <w:t>have had the opportunity to update</w:t>
            </w:r>
            <w:r w:rsidRPr="00D445BF">
              <w:rPr>
                <w:sz w:val="20"/>
                <w:szCs w:val="20"/>
              </w:rPr>
              <w:t xml:space="preserve"> their subject</w:t>
            </w:r>
            <w:r w:rsidR="00F21D20" w:rsidRPr="00D445BF">
              <w:rPr>
                <w:sz w:val="20"/>
                <w:szCs w:val="20"/>
              </w:rPr>
              <w:t xml:space="preserve"> knowledge </w:t>
            </w:r>
            <w:proofErr w:type="gramStart"/>
            <w:r w:rsidR="00F21D20" w:rsidRPr="00D445BF">
              <w:rPr>
                <w:sz w:val="20"/>
                <w:szCs w:val="20"/>
              </w:rPr>
              <w:t xml:space="preserve">and </w:t>
            </w:r>
            <w:r w:rsidRPr="00D445BF">
              <w:rPr>
                <w:sz w:val="20"/>
                <w:szCs w:val="20"/>
              </w:rPr>
              <w:t xml:space="preserve"> skills</w:t>
            </w:r>
            <w:proofErr w:type="gramEnd"/>
            <w:r w:rsidRPr="00D445BF">
              <w:rPr>
                <w:sz w:val="20"/>
                <w:szCs w:val="20"/>
              </w:rPr>
              <w:t xml:space="preserve"> </w:t>
            </w:r>
            <w:r w:rsidR="00F21D20" w:rsidRPr="00D445BF">
              <w:rPr>
                <w:sz w:val="20"/>
                <w:szCs w:val="20"/>
              </w:rPr>
              <w:t xml:space="preserve"> in alignment with </w:t>
            </w:r>
            <w:r w:rsidR="00D445BF">
              <w:rPr>
                <w:sz w:val="20"/>
                <w:szCs w:val="20"/>
              </w:rPr>
              <w:t xml:space="preserve"> </w:t>
            </w:r>
            <w:r w:rsidRPr="00D445BF">
              <w:rPr>
                <w:sz w:val="20"/>
                <w:szCs w:val="20"/>
              </w:rPr>
              <w:t>current industrial practice.</w:t>
            </w:r>
            <w:r w:rsidR="00F21D20" w:rsidRPr="00D445BF">
              <w:rPr>
                <w:sz w:val="20"/>
                <w:szCs w:val="20"/>
              </w:rPr>
              <w:t xml:space="preserve"> The partnership has facilitated workforce development at both organisations.</w:t>
            </w:r>
          </w:p>
          <w:p w:rsidR="00632A0D" w:rsidRPr="00D445BF" w:rsidRDefault="00F21D20" w:rsidP="00632A0D">
            <w:pPr>
              <w:pStyle w:val="ListParagraph"/>
              <w:rPr>
                <w:sz w:val="20"/>
                <w:szCs w:val="20"/>
              </w:rPr>
            </w:pPr>
            <w:r w:rsidRPr="00D445BF">
              <w:rPr>
                <w:sz w:val="20"/>
                <w:szCs w:val="20"/>
              </w:rPr>
              <w:t xml:space="preserve"> </w:t>
            </w:r>
          </w:p>
          <w:p w:rsidR="004F2AA3" w:rsidRPr="00D445BF" w:rsidRDefault="004F2AA3" w:rsidP="00632A0D">
            <w:pPr>
              <w:pStyle w:val="ListParagraph"/>
              <w:rPr>
                <w:sz w:val="20"/>
                <w:szCs w:val="20"/>
              </w:rPr>
            </w:pPr>
            <w:r w:rsidRPr="00D445BF">
              <w:rPr>
                <w:sz w:val="20"/>
                <w:szCs w:val="20"/>
              </w:rPr>
              <w:t>Vision</w:t>
            </w:r>
          </w:p>
          <w:p w:rsidR="00D31D92" w:rsidRPr="00D445BF" w:rsidRDefault="004F2AA3" w:rsidP="00632A0D">
            <w:pPr>
              <w:pStyle w:val="ListParagraph"/>
              <w:rPr>
                <w:sz w:val="20"/>
                <w:szCs w:val="20"/>
              </w:rPr>
            </w:pPr>
            <w:r w:rsidRPr="00D445BF">
              <w:rPr>
                <w:sz w:val="20"/>
                <w:szCs w:val="20"/>
              </w:rPr>
              <w:t>To be</w:t>
            </w:r>
            <w:r w:rsidR="00F21D20" w:rsidRPr="00D445BF">
              <w:rPr>
                <w:sz w:val="20"/>
                <w:szCs w:val="20"/>
              </w:rPr>
              <w:t xml:space="preserve"> an outstanding college at the heart of an outstanding learning community</w:t>
            </w:r>
            <w:r w:rsidR="00632A0D" w:rsidRPr="00D445BF">
              <w:rPr>
                <w:sz w:val="20"/>
                <w:szCs w:val="20"/>
              </w:rPr>
              <w:t xml:space="preserve"> driving  forward educational, economic and cultural successes by continually raising the aspirations, knowledge and skills of  individuals, communities and businesses</w:t>
            </w:r>
            <w:r w:rsidR="00D31D92" w:rsidRPr="00D445BF">
              <w:rPr>
                <w:sz w:val="20"/>
                <w:szCs w:val="20"/>
              </w:rPr>
              <w:t>.</w:t>
            </w:r>
          </w:p>
          <w:p w:rsidR="003F7F5A" w:rsidRPr="00D445BF" w:rsidRDefault="00D31D92" w:rsidP="00743DE3">
            <w:pPr>
              <w:pStyle w:val="ListParagraph"/>
              <w:rPr>
                <w:sz w:val="20"/>
                <w:szCs w:val="20"/>
              </w:rPr>
            </w:pPr>
            <w:r w:rsidRPr="00D445BF">
              <w:rPr>
                <w:sz w:val="20"/>
                <w:szCs w:val="20"/>
              </w:rPr>
              <w:t>Effective employer engagement makes this vision a reality.</w:t>
            </w:r>
            <w:r w:rsidR="00F21D20" w:rsidRPr="00D445BF">
              <w:rPr>
                <w:sz w:val="20"/>
                <w:szCs w:val="20"/>
              </w:rPr>
              <w:t xml:space="preserve"> </w:t>
            </w:r>
          </w:p>
          <w:p w:rsidR="00743DE3" w:rsidRPr="00D445BF" w:rsidRDefault="00743DE3" w:rsidP="00743DE3">
            <w:pPr>
              <w:pStyle w:val="ListParagraph"/>
              <w:rPr>
                <w:sz w:val="20"/>
                <w:szCs w:val="20"/>
              </w:rPr>
            </w:pPr>
          </w:p>
          <w:p w:rsidR="00180D40" w:rsidRPr="00D445BF" w:rsidRDefault="003F7F5A" w:rsidP="003F7F5A">
            <w:pPr>
              <w:pStyle w:val="ListParagraph"/>
              <w:numPr>
                <w:ilvl w:val="0"/>
                <w:numId w:val="7"/>
              </w:numPr>
              <w:rPr>
                <w:sz w:val="20"/>
                <w:szCs w:val="20"/>
              </w:rPr>
            </w:pPr>
            <w:r w:rsidRPr="00D445BF">
              <w:rPr>
                <w:sz w:val="20"/>
                <w:szCs w:val="20"/>
              </w:rPr>
              <w:t xml:space="preserve">Sustainability </w:t>
            </w:r>
          </w:p>
          <w:p w:rsidR="00180D40" w:rsidRPr="00D445BF" w:rsidRDefault="009C0F96" w:rsidP="00180D40">
            <w:pPr>
              <w:pStyle w:val="ListParagraph"/>
              <w:rPr>
                <w:sz w:val="20"/>
                <w:szCs w:val="20"/>
              </w:rPr>
            </w:pPr>
            <w:r w:rsidRPr="00D445BF">
              <w:rPr>
                <w:sz w:val="20"/>
                <w:szCs w:val="20"/>
              </w:rPr>
              <w:t xml:space="preserve">The </w:t>
            </w:r>
            <w:r w:rsidR="003F7F5A" w:rsidRPr="00D445BF">
              <w:rPr>
                <w:sz w:val="20"/>
                <w:szCs w:val="20"/>
              </w:rPr>
              <w:t>r</w:t>
            </w:r>
            <w:r w:rsidR="00743DE3" w:rsidRPr="00D445BF">
              <w:rPr>
                <w:sz w:val="20"/>
                <w:szCs w:val="20"/>
              </w:rPr>
              <w:t xml:space="preserve">elationship </w:t>
            </w:r>
            <w:r w:rsidRPr="00D445BF">
              <w:rPr>
                <w:sz w:val="20"/>
                <w:szCs w:val="20"/>
              </w:rPr>
              <w:t>between the two organisations</w:t>
            </w:r>
            <w:r w:rsidR="003F7F5A" w:rsidRPr="00D445BF">
              <w:rPr>
                <w:sz w:val="20"/>
                <w:szCs w:val="20"/>
              </w:rPr>
              <w:t xml:space="preserve"> ha</w:t>
            </w:r>
            <w:r w:rsidR="00743DE3" w:rsidRPr="00D445BF">
              <w:rPr>
                <w:sz w:val="20"/>
                <w:szCs w:val="20"/>
              </w:rPr>
              <w:t>s devel</w:t>
            </w:r>
            <w:r w:rsidR="007A1340">
              <w:rPr>
                <w:sz w:val="20"/>
                <w:szCs w:val="20"/>
              </w:rPr>
              <w:t>oped over the last twenty years</w:t>
            </w:r>
            <w:r w:rsidR="00743DE3" w:rsidRPr="00D445BF">
              <w:rPr>
                <w:sz w:val="20"/>
                <w:szCs w:val="20"/>
              </w:rPr>
              <w:t>. Petroc has endeavoured as an organisation to be responsive to the training n</w:t>
            </w:r>
            <w:r w:rsidR="00443AE2" w:rsidRPr="00D445BF">
              <w:rPr>
                <w:sz w:val="20"/>
                <w:szCs w:val="20"/>
              </w:rPr>
              <w:t>eeds of the staff at TDK Lamb</w:t>
            </w:r>
            <w:r w:rsidR="00180D40" w:rsidRPr="00D445BF">
              <w:rPr>
                <w:sz w:val="20"/>
                <w:szCs w:val="20"/>
              </w:rPr>
              <w:t>da helping the company to ensure that</w:t>
            </w:r>
            <w:r w:rsidRPr="00D445BF">
              <w:rPr>
                <w:sz w:val="20"/>
                <w:szCs w:val="20"/>
              </w:rPr>
              <w:t xml:space="preserve"> they could offer their staff opport</w:t>
            </w:r>
            <w:r w:rsidR="00D445BF">
              <w:rPr>
                <w:sz w:val="20"/>
                <w:szCs w:val="20"/>
              </w:rPr>
              <w:t xml:space="preserve">unities for career progression </w:t>
            </w:r>
            <w:r w:rsidRPr="00D445BF">
              <w:rPr>
                <w:sz w:val="20"/>
                <w:szCs w:val="20"/>
              </w:rPr>
              <w:t xml:space="preserve">whilst addressing </w:t>
            </w:r>
            <w:r w:rsidR="00180D40" w:rsidRPr="00D445BF">
              <w:rPr>
                <w:sz w:val="20"/>
                <w:szCs w:val="20"/>
              </w:rPr>
              <w:t xml:space="preserve">succession </w:t>
            </w:r>
            <w:proofErr w:type="gramStart"/>
            <w:r w:rsidR="00180D40" w:rsidRPr="00D445BF">
              <w:rPr>
                <w:sz w:val="20"/>
                <w:szCs w:val="20"/>
              </w:rPr>
              <w:t>plann</w:t>
            </w:r>
            <w:r w:rsidRPr="00D445BF">
              <w:rPr>
                <w:sz w:val="20"/>
                <w:szCs w:val="20"/>
              </w:rPr>
              <w:t xml:space="preserve">ing </w:t>
            </w:r>
            <w:r w:rsidR="00D445BF">
              <w:rPr>
                <w:sz w:val="20"/>
                <w:szCs w:val="20"/>
              </w:rPr>
              <w:t>.</w:t>
            </w:r>
            <w:proofErr w:type="gramEnd"/>
            <w:r w:rsidR="00D445BF">
              <w:rPr>
                <w:sz w:val="20"/>
                <w:szCs w:val="20"/>
              </w:rPr>
              <w:t xml:space="preserve"> This strategy </w:t>
            </w:r>
            <w:r w:rsidR="00180D40" w:rsidRPr="00D445BF">
              <w:rPr>
                <w:sz w:val="20"/>
                <w:szCs w:val="20"/>
              </w:rPr>
              <w:t>has contributed to the minimisation</w:t>
            </w:r>
            <w:r w:rsidR="007A1340">
              <w:rPr>
                <w:sz w:val="20"/>
                <w:szCs w:val="20"/>
              </w:rPr>
              <w:t xml:space="preserve"> of </w:t>
            </w:r>
            <w:r w:rsidR="00180D40" w:rsidRPr="00D445BF">
              <w:rPr>
                <w:sz w:val="20"/>
                <w:szCs w:val="20"/>
              </w:rPr>
              <w:t xml:space="preserve">the loss </w:t>
            </w:r>
            <w:proofErr w:type="gramStart"/>
            <w:r w:rsidR="00180D40" w:rsidRPr="00D445BF">
              <w:rPr>
                <w:sz w:val="20"/>
                <w:szCs w:val="20"/>
              </w:rPr>
              <w:t>of  expertise</w:t>
            </w:r>
            <w:proofErr w:type="gramEnd"/>
            <w:r w:rsidR="00180D40" w:rsidRPr="00D445BF">
              <w:rPr>
                <w:sz w:val="20"/>
                <w:szCs w:val="20"/>
              </w:rPr>
              <w:t xml:space="preserve"> from the company and consequently from the local community.</w:t>
            </w:r>
          </w:p>
          <w:p w:rsidR="00180D40" w:rsidRPr="00D445BF" w:rsidRDefault="00180D40" w:rsidP="00180D40">
            <w:pPr>
              <w:pStyle w:val="ListParagraph"/>
              <w:rPr>
                <w:sz w:val="20"/>
                <w:szCs w:val="20"/>
              </w:rPr>
            </w:pPr>
            <w:proofErr w:type="gramStart"/>
            <w:r w:rsidRPr="00D445BF">
              <w:rPr>
                <w:sz w:val="20"/>
                <w:szCs w:val="20"/>
              </w:rPr>
              <w:t>Staff at the college have</w:t>
            </w:r>
            <w:proofErr w:type="gramEnd"/>
            <w:r w:rsidRPr="00D445BF">
              <w:rPr>
                <w:sz w:val="20"/>
                <w:szCs w:val="20"/>
              </w:rPr>
              <w:t xml:space="preserve"> facilitated CPD </w:t>
            </w:r>
            <w:r w:rsidR="00443AE2" w:rsidRPr="00D445BF">
              <w:rPr>
                <w:sz w:val="20"/>
                <w:szCs w:val="20"/>
              </w:rPr>
              <w:t>over the years allowing TDK Lamb</w:t>
            </w:r>
            <w:r w:rsidRPr="00D445BF">
              <w:rPr>
                <w:sz w:val="20"/>
                <w:szCs w:val="20"/>
              </w:rPr>
              <w:t>da staff to achieve</w:t>
            </w:r>
            <w:r w:rsidR="00D445BF">
              <w:rPr>
                <w:sz w:val="20"/>
                <w:szCs w:val="20"/>
              </w:rPr>
              <w:t xml:space="preserve"> progressively </w:t>
            </w:r>
            <w:r w:rsidR="00680E4A" w:rsidRPr="00D445BF">
              <w:rPr>
                <w:sz w:val="20"/>
                <w:szCs w:val="20"/>
              </w:rPr>
              <w:t>higher levels of qualifications.</w:t>
            </w:r>
            <w:r w:rsidR="003D757E" w:rsidRPr="00D445BF">
              <w:rPr>
                <w:sz w:val="20"/>
                <w:szCs w:val="20"/>
              </w:rPr>
              <w:t xml:space="preserve"> Learning </w:t>
            </w:r>
            <w:proofErr w:type="gramStart"/>
            <w:r w:rsidR="003D757E" w:rsidRPr="00D445BF">
              <w:rPr>
                <w:sz w:val="20"/>
                <w:szCs w:val="20"/>
              </w:rPr>
              <w:t>materials  have</w:t>
            </w:r>
            <w:proofErr w:type="gramEnd"/>
            <w:r w:rsidR="003D757E" w:rsidRPr="00D445BF">
              <w:rPr>
                <w:sz w:val="20"/>
                <w:szCs w:val="20"/>
              </w:rPr>
              <w:t xml:space="preserve"> been  made  accessible electronically via the college virtual learning environment to  provide  flexible learn</w:t>
            </w:r>
            <w:r w:rsidR="009C0F96" w:rsidRPr="00D445BF">
              <w:rPr>
                <w:sz w:val="20"/>
                <w:szCs w:val="20"/>
              </w:rPr>
              <w:t>ing opportuni</w:t>
            </w:r>
            <w:r w:rsidR="00443AE2" w:rsidRPr="00D445BF">
              <w:rPr>
                <w:sz w:val="20"/>
                <w:szCs w:val="20"/>
              </w:rPr>
              <w:t xml:space="preserve">ties. This model </w:t>
            </w:r>
            <w:r w:rsidR="009C0F96" w:rsidRPr="00D445BF">
              <w:rPr>
                <w:sz w:val="20"/>
                <w:szCs w:val="20"/>
              </w:rPr>
              <w:t xml:space="preserve">has </w:t>
            </w:r>
            <w:r w:rsidR="003D757E" w:rsidRPr="00D445BF">
              <w:rPr>
                <w:sz w:val="20"/>
                <w:szCs w:val="20"/>
              </w:rPr>
              <w:t>meant that</w:t>
            </w:r>
            <w:r w:rsidR="009C0F96" w:rsidRPr="00D445BF">
              <w:rPr>
                <w:sz w:val="20"/>
                <w:szCs w:val="20"/>
              </w:rPr>
              <w:t xml:space="preserve"> TDK </w:t>
            </w:r>
            <w:proofErr w:type="spellStart"/>
            <w:r w:rsidR="009C0F96" w:rsidRPr="00D445BF">
              <w:rPr>
                <w:sz w:val="20"/>
                <w:szCs w:val="20"/>
              </w:rPr>
              <w:t>Lamda</w:t>
            </w:r>
            <w:proofErr w:type="spellEnd"/>
            <w:r w:rsidR="009C0F96" w:rsidRPr="00D445BF">
              <w:rPr>
                <w:sz w:val="20"/>
                <w:szCs w:val="20"/>
              </w:rPr>
              <w:t xml:space="preserve"> </w:t>
            </w:r>
            <w:r w:rsidR="003D757E" w:rsidRPr="00D445BF">
              <w:rPr>
                <w:sz w:val="20"/>
                <w:szCs w:val="20"/>
              </w:rPr>
              <w:t>have been able to explore more sustainable CPD approaches. This kind of practice has contributed to the college receiving two awards for its outstanding practices in Sustainability:</w:t>
            </w:r>
          </w:p>
          <w:p w:rsidR="003D757E" w:rsidRPr="00D445BF" w:rsidRDefault="003D757E" w:rsidP="00180D40">
            <w:pPr>
              <w:pStyle w:val="ListParagraph"/>
              <w:rPr>
                <w:sz w:val="20"/>
                <w:szCs w:val="20"/>
              </w:rPr>
            </w:pPr>
            <w:r w:rsidRPr="00D445BF">
              <w:rPr>
                <w:sz w:val="20"/>
                <w:szCs w:val="20"/>
              </w:rPr>
              <w:t>2009 DCSF National Teaching Award- Sustainable Development</w:t>
            </w:r>
          </w:p>
          <w:p w:rsidR="003D757E" w:rsidRPr="00D445BF" w:rsidRDefault="003D757E" w:rsidP="00180D40">
            <w:pPr>
              <w:pStyle w:val="ListParagraph"/>
              <w:rPr>
                <w:sz w:val="20"/>
                <w:szCs w:val="20"/>
              </w:rPr>
            </w:pPr>
            <w:r w:rsidRPr="00D445BF">
              <w:rPr>
                <w:sz w:val="20"/>
                <w:szCs w:val="20"/>
              </w:rPr>
              <w:t>2011 FE Teaching Award final nomination</w:t>
            </w:r>
            <w:r w:rsidR="007A1340">
              <w:rPr>
                <w:sz w:val="20"/>
                <w:szCs w:val="20"/>
              </w:rPr>
              <w:t>. Award Ceremony- Nov</w:t>
            </w:r>
            <w:r w:rsidR="00A74340" w:rsidRPr="00D445BF">
              <w:rPr>
                <w:sz w:val="20"/>
                <w:szCs w:val="20"/>
              </w:rPr>
              <w:t xml:space="preserve"> 11</w:t>
            </w:r>
            <w:r w:rsidR="00A74340" w:rsidRPr="00D445BF">
              <w:rPr>
                <w:sz w:val="20"/>
                <w:szCs w:val="20"/>
                <w:vertAlign w:val="superscript"/>
              </w:rPr>
              <w:t>th</w:t>
            </w:r>
            <w:r w:rsidR="007A1340">
              <w:rPr>
                <w:sz w:val="20"/>
                <w:szCs w:val="20"/>
              </w:rPr>
              <w:t>,</w:t>
            </w:r>
            <w:r w:rsidR="00A74340" w:rsidRPr="00D445BF">
              <w:rPr>
                <w:sz w:val="20"/>
                <w:szCs w:val="20"/>
              </w:rPr>
              <w:t xml:space="preserve"> London.</w:t>
            </w:r>
          </w:p>
          <w:p w:rsidR="003F7F5A" w:rsidRPr="00D445BF" w:rsidRDefault="007F12D9" w:rsidP="00337896">
            <w:pPr>
              <w:pStyle w:val="ListParagraph"/>
              <w:rPr>
                <w:sz w:val="20"/>
                <w:szCs w:val="20"/>
              </w:rPr>
            </w:pPr>
            <w:r w:rsidRPr="00D445BF">
              <w:rPr>
                <w:sz w:val="20"/>
                <w:szCs w:val="20"/>
              </w:rPr>
              <w:t xml:space="preserve"> </w:t>
            </w:r>
            <w:proofErr w:type="spellStart"/>
            <w:r w:rsidRPr="00D445BF">
              <w:rPr>
                <w:sz w:val="20"/>
                <w:szCs w:val="20"/>
              </w:rPr>
              <w:t>Ilfracombe</w:t>
            </w:r>
            <w:proofErr w:type="spellEnd"/>
            <w:r w:rsidRPr="00D445BF">
              <w:rPr>
                <w:sz w:val="20"/>
                <w:szCs w:val="20"/>
              </w:rPr>
              <w:t xml:space="preserve"> based TDK- Lambda received the accolade of best training comp</w:t>
            </w:r>
            <w:r w:rsidR="007A1340">
              <w:rPr>
                <w:sz w:val="20"/>
                <w:szCs w:val="20"/>
              </w:rPr>
              <w:t xml:space="preserve">any within </w:t>
            </w:r>
            <w:r w:rsidR="00337896" w:rsidRPr="00D445BF">
              <w:rPr>
                <w:sz w:val="20"/>
                <w:szCs w:val="20"/>
              </w:rPr>
              <w:t xml:space="preserve">TDK </w:t>
            </w:r>
            <w:proofErr w:type="spellStart"/>
            <w:r w:rsidR="00337896" w:rsidRPr="00D445BF">
              <w:rPr>
                <w:sz w:val="20"/>
                <w:szCs w:val="20"/>
              </w:rPr>
              <w:t>Lamda</w:t>
            </w:r>
            <w:proofErr w:type="spellEnd"/>
            <w:r w:rsidR="00337896" w:rsidRPr="00D445BF">
              <w:rPr>
                <w:sz w:val="20"/>
                <w:szCs w:val="20"/>
              </w:rPr>
              <w:t xml:space="preserve"> </w:t>
            </w:r>
            <w:proofErr w:type="gramStart"/>
            <w:r w:rsidR="00337896" w:rsidRPr="00D445BF">
              <w:rPr>
                <w:sz w:val="20"/>
                <w:szCs w:val="20"/>
              </w:rPr>
              <w:t>International .</w:t>
            </w:r>
            <w:proofErr w:type="gramEnd"/>
            <w:r w:rsidR="00337896" w:rsidRPr="00D445BF">
              <w:rPr>
                <w:sz w:val="20"/>
                <w:szCs w:val="20"/>
              </w:rPr>
              <w:t xml:space="preserve"> TDK </w:t>
            </w:r>
            <w:r w:rsidR="009C0F96" w:rsidRPr="00D445BF">
              <w:rPr>
                <w:sz w:val="20"/>
                <w:szCs w:val="20"/>
              </w:rPr>
              <w:t xml:space="preserve">supports  </w:t>
            </w:r>
            <w:r w:rsidR="003F7F5A" w:rsidRPr="00D445BF">
              <w:rPr>
                <w:sz w:val="20"/>
                <w:szCs w:val="20"/>
              </w:rPr>
              <w:t>progress</w:t>
            </w:r>
            <w:r w:rsidR="009C0F96" w:rsidRPr="00D445BF">
              <w:rPr>
                <w:sz w:val="20"/>
                <w:szCs w:val="20"/>
              </w:rPr>
              <w:t xml:space="preserve">ion of trainees from </w:t>
            </w:r>
            <w:r w:rsidR="003F7F5A" w:rsidRPr="00D445BF">
              <w:rPr>
                <w:sz w:val="20"/>
                <w:szCs w:val="20"/>
              </w:rPr>
              <w:t xml:space="preserve"> modern and advanced modern apprentices to higher lev</w:t>
            </w:r>
            <w:r w:rsidR="00337896" w:rsidRPr="00D445BF">
              <w:rPr>
                <w:sz w:val="20"/>
                <w:szCs w:val="20"/>
              </w:rPr>
              <w:t xml:space="preserve">el training at HNC and </w:t>
            </w:r>
            <w:r w:rsidR="00337896" w:rsidRPr="00D445BF">
              <w:rPr>
                <w:sz w:val="20"/>
                <w:szCs w:val="20"/>
              </w:rPr>
              <w:lastRenderedPageBreak/>
              <w:t>Foundation D</w:t>
            </w:r>
            <w:r w:rsidR="003F7F5A" w:rsidRPr="00D445BF">
              <w:rPr>
                <w:sz w:val="20"/>
                <w:szCs w:val="20"/>
              </w:rPr>
              <w:t>egree</w:t>
            </w:r>
            <w:r w:rsidR="00443AE2" w:rsidRPr="00D445BF">
              <w:rPr>
                <w:sz w:val="20"/>
                <w:szCs w:val="20"/>
              </w:rPr>
              <w:t xml:space="preserve"> level</w:t>
            </w:r>
            <w:r w:rsidR="003F7F5A" w:rsidRPr="00D445BF">
              <w:rPr>
                <w:sz w:val="20"/>
                <w:szCs w:val="20"/>
              </w:rPr>
              <w:t>, with Petroc providing the teaching (and assessing where required) at each l</w:t>
            </w:r>
            <w:r w:rsidR="00337896" w:rsidRPr="00D445BF">
              <w:rPr>
                <w:sz w:val="20"/>
                <w:szCs w:val="20"/>
              </w:rPr>
              <w:t xml:space="preserve">evel. </w:t>
            </w:r>
            <w:r w:rsidR="00D445BF">
              <w:rPr>
                <w:sz w:val="20"/>
                <w:szCs w:val="20"/>
              </w:rPr>
              <w:t xml:space="preserve">In 2010/2011 </w:t>
            </w:r>
            <w:r w:rsidR="00E5314F" w:rsidRPr="00D445BF">
              <w:rPr>
                <w:sz w:val="20"/>
                <w:szCs w:val="20"/>
              </w:rPr>
              <w:t xml:space="preserve">TDK </w:t>
            </w:r>
            <w:proofErr w:type="spellStart"/>
            <w:r w:rsidR="00E5314F" w:rsidRPr="00D445BF">
              <w:rPr>
                <w:sz w:val="20"/>
                <w:szCs w:val="20"/>
              </w:rPr>
              <w:t>Lamda</w:t>
            </w:r>
            <w:proofErr w:type="spellEnd"/>
            <w:r w:rsidR="00E5314F" w:rsidRPr="00D445BF">
              <w:rPr>
                <w:sz w:val="20"/>
                <w:szCs w:val="20"/>
              </w:rPr>
              <w:t xml:space="preserve"> donated £5000 to provide the college with state of the art machinery</w:t>
            </w:r>
            <w:r w:rsidR="00E56A93" w:rsidRPr="00D445BF">
              <w:rPr>
                <w:sz w:val="20"/>
                <w:szCs w:val="20"/>
              </w:rPr>
              <w:t>. Petroc staff</w:t>
            </w:r>
            <w:r w:rsidR="00293374" w:rsidRPr="00D445BF">
              <w:rPr>
                <w:sz w:val="20"/>
                <w:szCs w:val="20"/>
              </w:rPr>
              <w:t xml:space="preserve"> were then able to update their knowledge and skills in terms of the use and applications of </w:t>
            </w:r>
            <w:r w:rsidR="00D445BF">
              <w:rPr>
                <w:sz w:val="20"/>
                <w:szCs w:val="20"/>
              </w:rPr>
              <w:t>the machinery and then</w:t>
            </w:r>
            <w:r w:rsidR="00E56A93" w:rsidRPr="00D445BF">
              <w:rPr>
                <w:sz w:val="20"/>
                <w:szCs w:val="20"/>
              </w:rPr>
              <w:t xml:space="preserve"> deliver CPD</w:t>
            </w:r>
            <w:r w:rsidR="007A1340">
              <w:rPr>
                <w:sz w:val="20"/>
                <w:szCs w:val="20"/>
              </w:rPr>
              <w:t xml:space="preserve"> to TDK employees that was</w:t>
            </w:r>
            <w:r w:rsidR="00293374" w:rsidRPr="00D445BF">
              <w:rPr>
                <w:sz w:val="20"/>
                <w:szCs w:val="20"/>
              </w:rPr>
              <w:t xml:space="preserve"> cascade</w:t>
            </w:r>
            <w:r w:rsidR="00443AE2" w:rsidRPr="00D445BF">
              <w:rPr>
                <w:sz w:val="20"/>
                <w:szCs w:val="20"/>
              </w:rPr>
              <w:t>d</w:t>
            </w:r>
            <w:r w:rsidR="00E56A93" w:rsidRPr="00D445BF">
              <w:rPr>
                <w:sz w:val="20"/>
                <w:szCs w:val="20"/>
              </w:rPr>
              <w:t xml:space="preserve"> to other TDK </w:t>
            </w:r>
            <w:proofErr w:type="spellStart"/>
            <w:proofErr w:type="gramStart"/>
            <w:r w:rsidR="00E56A93" w:rsidRPr="00D445BF">
              <w:rPr>
                <w:sz w:val="20"/>
                <w:szCs w:val="20"/>
              </w:rPr>
              <w:t>Lamda</w:t>
            </w:r>
            <w:proofErr w:type="spellEnd"/>
            <w:r w:rsidR="00E56A93" w:rsidRPr="00D445BF">
              <w:rPr>
                <w:sz w:val="20"/>
                <w:szCs w:val="20"/>
              </w:rPr>
              <w:t xml:space="preserve">  staff</w:t>
            </w:r>
            <w:proofErr w:type="gramEnd"/>
            <w:r w:rsidR="00E56A93" w:rsidRPr="00D445BF">
              <w:rPr>
                <w:sz w:val="20"/>
                <w:szCs w:val="20"/>
              </w:rPr>
              <w:t xml:space="preserve">  teams</w:t>
            </w:r>
            <w:r w:rsidR="007A1340">
              <w:rPr>
                <w:sz w:val="20"/>
                <w:szCs w:val="20"/>
              </w:rPr>
              <w:t xml:space="preserve"> demonstrating a</w:t>
            </w:r>
            <w:r w:rsidR="00443AE2" w:rsidRPr="00D445BF">
              <w:rPr>
                <w:sz w:val="20"/>
                <w:szCs w:val="20"/>
              </w:rPr>
              <w:t xml:space="preserve"> sustainable model of CPD delivery</w:t>
            </w:r>
            <w:r w:rsidR="007A1340">
              <w:rPr>
                <w:sz w:val="20"/>
                <w:szCs w:val="20"/>
              </w:rPr>
              <w:t>.</w:t>
            </w:r>
            <w:r w:rsidR="00E56A93" w:rsidRPr="00D445BF">
              <w:rPr>
                <w:sz w:val="20"/>
                <w:szCs w:val="20"/>
              </w:rPr>
              <w:t xml:space="preserve"> The equipment is</w:t>
            </w:r>
            <w:r w:rsidR="00293374" w:rsidRPr="00D445BF">
              <w:rPr>
                <w:sz w:val="20"/>
                <w:szCs w:val="20"/>
              </w:rPr>
              <w:t xml:space="preserve"> industry standard and of the  same  quality as</w:t>
            </w:r>
            <w:r w:rsidR="00E56A93" w:rsidRPr="00D445BF">
              <w:rPr>
                <w:sz w:val="20"/>
                <w:szCs w:val="20"/>
              </w:rPr>
              <w:t xml:space="preserve"> that of the University</w:t>
            </w:r>
            <w:r w:rsidR="00293374" w:rsidRPr="00D445BF">
              <w:rPr>
                <w:sz w:val="20"/>
                <w:szCs w:val="20"/>
              </w:rPr>
              <w:t xml:space="preserve"> of Plymouth  providing the local </w:t>
            </w:r>
            <w:r w:rsidR="00E56A93" w:rsidRPr="00D445BF">
              <w:rPr>
                <w:sz w:val="20"/>
                <w:szCs w:val="20"/>
              </w:rPr>
              <w:t xml:space="preserve"> community with</w:t>
            </w:r>
            <w:r w:rsidR="00293374" w:rsidRPr="00D445BF">
              <w:rPr>
                <w:sz w:val="20"/>
                <w:szCs w:val="20"/>
              </w:rPr>
              <w:t xml:space="preserve"> first class </w:t>
            </w:r>
            <w:r w:rsidR="00E56A93" w:rsidRPr="00D445BF">
              <w:rPr>
                <w:sz w:val="20"/>
                <w:szCs w:val="20"/>
              </w:rPr>
              <w:t xml:space="preserve"> learning experiences</w:t>
            </w:r>
          </w:p>
          <w:p w:rsidR="00337896" w:rsidRPr="00D445BF" w:rsidRDefault="00337896" w:rsidP="00337896">
            <w:pPr>
              <w:pStyle w:val="ListParagraph"/>
              <w:rPr>
                <w:sz w:val="20"/>
                <w:szCs w:val="20"/>
              </w:rPr>
            </w:pPr>
          </w:p>
          <w:p w:rsidR="00972B5C" w:rsidRPr="00D445BF" w:rsidRDefault="003F7F5A" w:rsidP="003F7F5A">
            <w:pPr>
              <w:pStyle w:val="ListParagraph"/>
              <w:numPr>
                <w:ilvl w:val="0"/>
                <w:numId w:val="7"/>
              </w:numPr>
              <w:rPr>
                <w:sz w:val="20"/>
                <w:szCs w:val="20"/>
              </w:rPr>
            </w:pPr>
            <w:r w:rsidRPr="00D445BF">
              <w:rPr>
                <w:sz w:val="20"/>
                <w:szCs w:val="20"/>
              </w:rPr>
              <w:t>Empl</w:t>
            </w:r>
            <w:r w:rsidR="0024752A" w:rsidRPr="00D445BF">
              <w:rPr>
                <w:sz w:val="20"/>
                <w:szCs w:val="20"/>
              </w:rPr>
              <w:t>oyer E</w:t>
            </w:r>
            <w:r w:rsidRPr="00D445BF">
              <w:rPr>
                <w:sz w:val="20"/>
                <w:szCs w:val="20"/>
              </w:rPr>
              <w:t xml:space="preserve">ngagement </w:t>
            </w:r>
          </w:p>
          <w:p w:rsidR="001860B5" w:rsidRDefault="003F7F5A" w:rsidP="007A1340">
            <w:pPr>
              <w:pStyle w:val="ListParagraph"/>
              <w:rPr>
                <w:sz w:val="20"/>
                <w:szCs w:val="20"/>
              </w:rPr>
            </w:pPr>
            <w:r w:rsidRPr="00D445BF">
              <w:rPr>
                <w:sz w:val="20"/>
                <w:szCs w:val="20"/>
              </w:rPr>
              <w:t>In addition to the relationsh</w:t>
            </w:r>
            <w:r w:rsidR="00DF2054" w:rsidRPr="00D445BF">
              <w:rPr>
                <w:sz w:val="20"/>
                <w:szCs w:val="20"/>
              </w:rPr>
              <w:t>ip built between TDK Lambda</w:t>
            </w:r>
            <w:r w:rsidRPr="00D445BF">
              <w:rPr>
                <w:sz w:val="20"/>
                <w:szCs w:val="20"/>
              </w:rPr>
              <w:t xml:space="preserve"> and Petroc, the train</w:t>
            </w:r>
            <w:r w:rsidR="0024752A" w:rsidRPr="00D445BF">
              <w:rPr>
                <w:sz w:val="20"/>
                <w:szCs w:val="20"/>
              </w:rPr>
              <w:t>ing programme</w:t>
            </w:r>
            <w:r w:rsidR="00D445BF">
              <w:rPr>
                <w:sz w:val="20"/>
                <w:szCs w:val="20"/>
              </w:rPr>
              <w:t xml:space="preserve"> delivery </w:t>
            </w:r>
            <w:proofErr w:type="gramStart"/>
            <w:r w:rsidR="00443AE2" w:rsidRPr="00D445BF">
              <w:rPr>
                <w:sz w:val="20"/>
                <w:szCs w:val="20"/>
              </w:rPr>
              <w:t>demonstrates</w:t>
            </w:r>
            <w:r w:rsidR="0024752A" w:rsidRPr="00D445BF">
              <w:rPr>
                <w:sz w:val="20"/>
                <w:szCs w:val="20"/>
              </w:rPr>
              <w:t xml:space="preserve"> </w:t>
            </w:r>
            <w:r w:rsidRPr="00D445BF">
              <w:rPr>
                <w:sz w:val="20"/>
                <w:szCs w:val="20"/>
              </w:rPr>
              <w:t xml:space="preserve"> best</w:t>
            </w:r>
            <w:proofErr w:type="gramEnd"/>
            <w:r w:rsidRPr="00D445BF">
              <w:rPr>
                <w:sz w:val="20"/>
                <w:szCs w:val="20"/>
              </w:rPr>
              <w:t xml:space="preserve"> practice to other comp</w:t>
            </w:r>
            <w:r w:rsidR="00DF2054" w:rsidRPr="00D445BF">
              <w:rPr>
                <w:sz w:val="20"/>
                <w:szCs w:val="20"/>
              </w:rPr>
              <w:t>anies in the area, with TDK Lambda</w:t>
            </w:r>
            <w:r w:rsidRPr="00D445BF">
              <w:rPr>
                <w:sz w:val="20"/>
                <w:szCs w:val="20"/>
              </w:rPr>
              <w:t xml:space="preserve"> often hosting visits</w:t>
            </w:r>
            <w:r w:rsidR="0024752A" w:rsidRPr="00D445BF">
              <w:rPr>
                <w:sz w:val="20"/>
                <w:szCs w:val="20"/>
              </w:rPr>
              <w:t xml:space="preserve"> for colleagues from different organisations,</w:t>
            </w:r>
            <w:r w:rsidRPr="00D445BF">
              <w:rPr>
                <w:sz w:val="20"/>
                <w:szCs w:val="20"/>
              </w:rPr>
              <w:t xml:space="preserve"> arranged by </w:t>
            </w:r>
            <w:proofErr w:type="spellStart"/>
            <w:r w:rsidRPr="00D445BF">
              <w:rPr>
                <w:sz w:val="20"/>
                <w:szCs w:val="20"/>
              </w:rPr>
              <w:t>Petroc</w:t>
            </w:r>
            <w:proofErr w:type="spellEnd"/>
            <w:r w:rsidRPr="00D445BF">
              <w:rPr>
                <w:sz w:val="20"/>
                <w:szCs w:val="20"/>
              </w:rPr>
              <w:t>.</w:t>
            </w:r>
          </w:p>
          <w:p w:rsidR="007A1340" w:rsidRPr="007A1340" w:rsidRDefault="007A1340" w:rsidP="007A1340">
            <w:pPr>
              <w:pStyle w:val="ListParagraph"/>
              <w:rPr>
                <w:sz w:val="20"/>
                <w:szCs w:val="20"/>
              </w:rPr>
            </w:pPr>
          </w:p>
          <w:p w:rsidR="001860B5" w:rsidRPr="00D445BF" w:rsidRDefault="001860B5" w:rsidP="001860B5">
            <w:pPr>
              <w:pStyle w:val="ListParagraph"/>
              <w:numPr>
                <w:ilvl w:val="0"/>
                <w:numId w:val="7"/>
              </w:numPr>
              <w:rPr>
                <w:sz w:val="20"/>
                <w:szCs w:val="20"/>
              </w:rPr>
            </w:pPr>
            <w:r w:rsidRPr="00D445BF">
              <w:rPr>
                <w:sz w:val="20"/>
                <w:szCs w:val="20"/>
              </w:rPr>
              <w:t>Widening Participation</w:t>
            </w:r>
          </w:p>
          <w:p w:rsidR="00471D59" w:rsidRPr="00D445BF" w:rsidRDefault="0024752A" w:rsidP="001860B5">
            <w:pPr>
              <w:pStyle w:val="ListParagraph"/>
              <w:rPr>
                <w:sz w:val="20"/>
                <w:szCs w:val="20"/>
              </w:rPr>
            </w:pPr>
            <w:r w:rsidRPr="00D445BF">
              <w:rPr>
                <w:sz w:val="20"/>
                <w:szCs w:val="20"/>
              </w:rPr>
              <w:t>A diverse range of</w:t>
            </w:r>
            <w:r w:rsidR="001860B5" w:rsidRPr="00D445BF">
              <w:rPr>
                <w:sz w:val="20"/>
                <w:szCs w:val="20"/>
              </w:rPr>
              <w:t xml:space="preserve"> Higher Education</w:t>
            </w:r>
            <w:r w:rsidR="00471D59" w:rsidRPr="00D445BF">
              <w:rPr>
                <w:sz w:val="20"/>
                <w:szCs w:val="20"/>
              </w:rPr>
              <w:t xml:space="preserve"> Engineering</w:t>
            </w:r>
            <w:r w:rsidR="001860B5" w:rsidRPr="00D445BF">
              <w:rPr>
                <w:sz w:val="20"/>
                <w:szCs w:val="20"/>
              </w:rPr>
              <w:t xml:space="preserve"> Programmes</w:t>
            </w:r>
            <w:r w:rsidRPr="00D445BF">
              <w:rPr>
                <w:sz w:val="20"/>
                <w:szCs w:val="20"/>
              </w:rPr>
              <w:t xml:space="preserve"> are facilitated by </w:t>
            </w:r>
            <w:proofErr w:type="spellStart"/>
            <w:r w:rsidR="00471D59" w:rsidRPr="00D445BF">
              <w:rPr>
                <w:sz w:val="20"/>
                <w:szCs w:val="20"/>
              </w:rPr>
              <w:t>Petroc</w:t>
            </w:r>
            <w:proofErr w:type="spellEnd"/>
            <w:r w:rsidR="00471D59" w:rsidRPr="00D445BF">
              <w:rPr>
                <w:sz w:val="20"/>
                <w:szCs w:val="20"/>
              </w:rPr>
              <w:t xml:space="preserve"> using a system of blended learning</w:t>
            </w:r>
            <w:r w:rsidR="00443AE2" w:rsidRPr="00D445BF">
              <w:rPr>
                <w:sz w:val="20"/>
                <w:szCs w:val="20"/>
              </w:rPr>
              <w:t>.</w:t>
            </w:r>
            <w:r w:rsidR="00471D59" w:rsidRPr="00D445BF">
              <w:rPr>
                <w:sz w:val="20"/>
                <w:szCs w:val="20"/>
              </w:rPr>
              <w:t xml:space="preserve"> Petroc staff work directly with employer learners i</w:t>
            </w:r>
            <w:r w:rsidR="00D445BF">
              <w:rPr>
                <w:sz w:val="20"/>
                <w:szCs w:val="20"/>
              </w:rPr>
              <w:t xml:space="preserve">n the workplace and we </w:t>
            </w:r>
            <w:r w:rsidR="00443AE2" w:rsidRPr="00D445BF">
              <w:rPr>
                <w:sz w:val="20"/>
                <w:szCs w:val="20"/>
              </w:rPr>
              <w:t xml:space="preserve">adapt </w:t>
            </w:r>
            <w:r w:rsidR="00471D59" w:rsidRPr="00D445BF">
              <w:rPr>
                <w:sz w:val="20"/>
                <w:szCs w:val="20"/>
              </w:rPr>
              <w:t>course</w:t>
            </w:r>
            <w:r w:rsidR="00443AE2" w:rsidRPr="00D445BF">
              <w:rPr>
                <w:sz w:val="20"/>
                <w:szCs w:val="20"/>
              </w:rPr>
              <w:t>s</w:t>
            </w:r>
            <w:r w:rsidR="00471D59" w:rsidRPr="00D445BF">
              <w:rPr>
                <w:sz w:val="20"/>
                <w:szCs w:val="20"/>
              </w:rPr>
              <w:t xml:space="preserve"> to meet the specific job role needs</w:t>
            </w:r>
            <w:r w:rsidR="001860B5" w:rsidRPr="00D445BF">
              <w:rPr>
                <w:sz w:val="20"/>
                <w:szCs w:val="20"/>
              </w:rPr>
              <w:t>.</w:t>
            </w:r>
            <w:r w:rsidR="00471D59" w:rsidRPr="00D445BF">
              <w:rPr>
                <w:sz w:val="20"/>
                <w:szCs w:val="20"/>
              </w:rPr>
              <w:t xml:space="preserve"> The knowledge and skills acquired by </w:t>
            </w:r>
            <w:r w:rsidR="00D445BF">
              <w:rPr>
                <w:sz w:val="20"/>
                <w:szCs w:val="20"/>
              </w:rPr>
              <w:t>individuals can then be applied</w:t>
            </w:r>
            <w:r w:rsidR="00471D59" w:rsidRPr="00D445BF">
              <w:rPr>
                <w:sz w:val="20"/>
                <w:szCs w:val="20"/>
              </w:rPr>
              <w:t>, practiced and built upon further.</w:t>
            </w:r>
            <w:r w:rsidR="001860B5" w:rsidRPr="00D445BF">
              <w:rPr>
                <w:sz w:val="20"/>
                <w:szCs w:val="20"/>
              </w:rPr>
              <w:t xml:space="preserve"> The programmes are offered on a full</w:t>
            </w:r>
            <w:r w:rsidR="00471D59" w:rsidRPr="00D445BF">
              <w:rPr>
                <w:sz w:val="20"/>
                <w:szCs w:val="20"/>
              </w:rPr>
              <w:t xml:space="preserve"> </w:t>
            </w:r>
            <w:r w:rsidR="001860B5" w:rsidRPr="00D445BF">
              <w:rPr>
                <w:sz w:val="20"/>
                <w:szCs w:val="20"/>
              </w:rPr>
              <w:t>time or part time basis in response to employers feeling that they would like to up</w:t>
            </w:r>
            <w:r w:rsidR="00471D59" w:rsidRPr="00D445BF">
              <w:rPr>
                <w:sz w:val="20"/>
                <w:szCs w:val="20"/>
              </w:rPr>
              <w:t>- skill their workforce</w:t>
            </w:r>
            <w:r w:rsidR="00D445BF">
              <w:rPr>
                <w:sz w:val="20"/>
                <w:szCs w:val="20"/>
              </w:rPr>
              <w:t xml:space="preserve"> </w:t>
            </w:r>
            <w:r w:rsidR="001860B5" w:rsidRPr="00D445BF">
              <w:rPr>
                <w:sz w:val="20"/>
                <w:szCs w:val="20"/>
              </w:rPr>
              <w:t>without too much disruption to the working week</w:t>
            </w:r>
            <w:r w:rsidR="00443AE2" w:rsidRPr="00D445BF">
              <w:rPr>
                <w:sz w:val="20"/>
                <w:szCs w:val="20"/>
              </w:rPr>
              <w:t>,</w:t>
            </w:r>
            <w:r w:rsidR="001860B5" w:rsidRPr="00D445BF">
              <w:rPr>
                <w:sz w:val="20"/>
                <w:szCs w:val="20"/>
              </w:rPr>
              <w:t xml:space="preserve"> with specific targets to meet.</w:t>
            </w:r>
          </w:p>
          <w:p w:rsidR="00471D59" w:rsidRPr="00D445BF" w:rsidRDefault="00471D59" w:rsidP="001860B5">
            <w:pPr>
              <w:pStyle w:val="ListParagraph"/>
              <w:rPr>
                <w:sz w:val="20"/>
                <w:szCs w:val="20"/>
              </w:rPr>
            </w:pPr>
          </w:p>
          <w:p w:rsidR="001860B5" w:rsidRPr="00D445BF" w:rsidRDefault="00471D59" w:rsidP="001860B5">
            <w:pPr>
              <w:pStyle w:val="ListParagraph"/>
              <w:rPr>
                <w:sz w:val="20"/>
                <w:szCs w:val="20"/>
              </w:rPr>
            </w:pPr>
            <w:r w:rsidRPr="00D445BF">
              <w:rPr>
                <w:sz w:val="20"/>
                <w:szCs w:val="20"/>
              </w:rPr>
              <w:t>E</w:t>
            </w:r>
            <w:r w:rsidR="005170BB" w:rsidRPr="00D445BF">
              <w:rPr>
                <w:sz w:val="20"/>
                <w:szCs w:val="20"/>
              </w:rPr>
              <w:t>ffective em</w:t>
            </w:r>
            <w:r w:rsidRPr="00D445BF">
              <w:rPr>
                <w:sz w:val="20"/>
                <w:szCs w:val="20"/>
              </w:rPr>
              <w:t>ployer engagement has also provided opp</w:t>
            </w:r>
            <w:r w:rsidR="00D445BF">
              <w:rPr>
                <w:sz w:val="20"/>
                <w:szCs w:val="20"/>
              </w:rPr>
              <w:t xml:space="preserve">ortunities for </w:t>
            </w:r>
            <w:r w:rsidRPr="00D445BF">
              <w:rPr>
                <w:sz w:val="20"/>
                <w:szCs w:val="20"/>
              </w:rPr>
              <w:t>learners at the college to benefit from</w:t>
            </w:r>
            <w:r w:rsidR="007A1340">
              <w:rPr>
                <w:sz w:val="20"/>
                <w:szCs w:val="20"/>
              </w:rPr>
              <w:t>:</w:t>
            </w:r>
            <w:r w:rsidR="00443AE2" w:rsidRPr="00D445BF">
              <w:rPr>
                <w:sz w:val="20"/>
                <w:szCs w:val="20"/>
              </w:rPr>
              <w:t xml:space="preserve"> Industry links</w:t>
            </w:r>
            <w:r w:rsidR="005170BB" w:rsidRPr="00D445BF">
              <w:rPr>
                <w:sz w:val="20"/>
                <w:szCs w:val="20"/>
              </w:rPr>
              <w:t>- key notes/ guest lectu</w:t>
            </w:r>
            <w:r w:rsidR="00443AE2" w:rsidRPr="00D445BF">
              <w:rPr>
                <w:sz w:val="20"/>
                <w:szCs w:val="20"/>
              </w:rPr>
              <w:t>res, STEM CPD</w:t>
            </w:r>
            <w:proofErr w:type="gramStart"/>
            <w:r w:rsidR="00443AE2" w:rsidRPr="00D445BF">
              <w:rPr>
                <w:sz w:val="20"/>
                <w:szCs w:val="20"/>
              </w:rPr>
              <w:t>,  work</w:t>
            </w:r>
            <w:proofErr w:type="gramEnd"/>
            <w:r w:rsidR="00443AE2" w:rsidRPr="00D445BF">
              <w:rPr>
                <w:sz w:val="20"/>
                <w:szCs w:val="20"/>
              </w:rPr>
              <w:t xml:space="preserve"> e</w:t>
            </w:r>
            <w:r w:rsidRPr="00D445BF">
              <w:rPr>
                <w:sz w:val="20"/>
                <w:szCs w:val="20"/>
              </w:rPr>
              <w:t>xperience and employers becoming involved with the design and moderation of assessments on various courses.</w:t>
            </w:r>
            <w:r w:rsidR="00443AE2" w:rsidRPr="00D445BF">
              <w:rPr>
                <w:sz w:val="20"/>
                <w:szCs w:val="20"/>
              </w:rPr>
              <w:t xml:space="preserve"> In addition e</w:t>
            </w:r>
            <w:r w:rsidRPr="00D445BF">
              <w:rPr>
                <w:sz w:val="20"/>
                <w:szCs w:val="20"/>
              </w:rPr>
              <w:t>ngineering company staff have provided a rich support of STEM Ambassadors to support enrichment and enhanced learning at the college.</w:t>
            </w:r>
          </w:p>
          <w:p w:rsidR="00695AAD" w:rsidRPr="00D445BF" w:rsidRDefault="00695AAD" w:rsidP="001860B5">
            <w:pPr>
              <w:pStyle w:val="ListParagraph"/>
              <w:rPr>
                <w:sz w:val="20"/>
                <w:szCs w:val="20"/>
              </w:rPr>
            </w:pPr>
          </w:p>
          <w:p w:rsidR="00695AAD" w:rsidRPr="00D445BF" w:rsidRDefault="00695AAD" w:rsidP="00695AAD">
            <w:pPr>
              <w:pStyle w:val="ListParagraph"/>
              <w:numPr>
                <w:ilvl w:val="0"/>
                <w:numId w:val="7"/>
              </w:numPr>
              <w:rPr>
                <w:sz w:val="20"/>
                <w:szCs w:val="20"/>
              </w:rPr>
            </w:pPr>
            <w:r w:rsidRPr="00D445BF">
              <w:rPr>
                <w:sz w:val="20"/>
                <w:szCs w:val="20"/>
              </w:rPr>
              <w:t>Impact on Institutions</w:t>
            </w:r>
          </w:p>
          <w:p w:rsidR="00695AAD" w:rsidRPr="00D445BF" w:rsidRDefault="00D445BF" w:rsidP="00695AAD">
            <w:pPr>
              <w:pStyle w:val="ListParagraph"/>
              <w:rPr>
                <w:sz w:val="20"/>
                <w:szCs w:val="20"/>
              </w:rPr>
            </w:pPr>
            <w:r>
              <w:rPr>
                <w:sz w:val="20"/>
                <w:szCs w:val="20"/>
              </w:rPr>
              <w:t>Project evaluations</w:t>
            </w:r>
            <w:r w:rsidR="00695AAD" w:rsidRPr="00D445BF">
              <w:rPr>
                <w:sz w:val="20"/>
                <w:szCs w:val="20"/>
              </w:rPr>
              <w:t xml:space="preserve"> are analysed and good practice dissemination events take place where colleagues can share their expertise with other staff.</w:t>
            </w:r>
          </w:p>
          <w:p w:rsidR="00695AAD" w:rsidRPr="00D445BF" w:rsidRDefault="00695AAD" w:rsidP="001860B5">
            <w:pPr>
              <w:pStyle w:val="ListParagraph"/>
              <w:rPr>
                <w:sz w:val="20"/>
                <w:szCs w:val="20"/>
              </w:rPr>
            </w:pPr>
          </w:p>
          <w:p w:rsidR="00972B5C" w:rsidRPr="00D445BF" w:rsidRDefault="00972B5C" w:rsidP="00972B5C">
            <w:pPr>
              <w:pStyle w:val="ListParagraph"/>
              <w:rPr>
                <w:sz w:val="20"/>
                <w:szCs w:val="20"/>
              </w:rPr>
            </w:pPr>
          </w:p>
        </w:tc>
      </w:tr>
      <w:tr w:rsidR="00643F3C" w:rsidRPr="00D445BF" w:rsidTr="00643F3C">
        <w:trPr>
          <w:trHeight w:val="4033"/>
        </w:trPr>
        <w:tc>
          <w:tcPr>
            <w:tcW w:w="2463" w:type="dxa"/>
          </w:tcPr>
          <w:p w:rsidR="00643F3C" w:rsidRPr="00D445BF" w:rsidRDefault="00643F3C" w:rsidP="00643F3C">
            <w:pPr>
              <w:rPr>
                <w:sz w:val="20"/>
                <w:szCs w:val="20"/>
              </w:rPr>
            </w:pPr>
          </w:p>
          <w:p w:rsidR="00643F3C" w:rsidRPr="00D445BF" w:rsidRDefault="001A0F8E" w:rsidP="00643F3C">
            <w:pPr>
              <w:rPr>
                <w:sz w:val="20"/>
                <w:szCs w:val="20"/>
              </w:rPr>
            </w:pPr>
            <w:r w:rsidRPr="00D445BF">
              <w:rPr>
                <w:sz w:val="20"/>
                <w:szCs w:val="20"/>
              </w:rPr>
              <w:t xml:space="preserve">Project Partners  </w:t>
            </w:r>
            <w:r w:rsidR="00643F3C" w:rsidRPr="00D445BF">
              <w:rPr>
                <w:sz w:val="20"/>
                <w:szCs w:val="20"/>
              </w:rPr>
              <w:t xml:space="preserve"> and Motivations for the Partners Involvement</w:t>
            </w:r>
          </w:p>
        </w:tc>
        <w:tc>
          <w:tcPr>
            <w:tcW w:w="7457" w:type="dxa"/>
          </w:tcPr>
          <w:p w:rsidR="00882A3E" w:rsidRPr="00D445BF" w:rsidRDefault="00352F66" w:rsidP="00643F3C">
            <w:pPr>
              <w:rPr>
                <w:sz w:val="20"/>
                <w:szCs w:val="20"/>
              </w:rPr>
            </w:pPr>
            <w:r w:rsidRPr="00D445BF">
              <w:rPr>
                <w:sz w:val="20"/>
                <w:szCs w:val="20"/>
              </w:rPr>
              <w:t xml:space="preserve">TDK </w:t>
            </w:r>
            <w:proofErr w:type="spellStart"/>
            <w:r w:rsidRPr="00D445BF">
              <w:rPr>
                <w:sz w:val="20"/>
                <w:szCs w:val="20"/>
              </w:rPr>
              <w:t>Lamda</w:t>
            </w:r>
            <w:proofErr w:type="spellEnd"/>
            <w:r w:rsidRPr="00D445BF">
              <w:rPr>
                <w:sz w:val="20"/>
                <w:szCs w:val="20"/>
              </w:rPr>
              <w:t xml:space="preserve"> </w:t>
            </w:r>
            <w:r w:rsidR="004B772A" w:rsidRPr="00D445BF">
              <w:rPr>
                <w:sz w:val="20"/>
                <w:szCs w:val="20"/>
              </w:rPr>
              <w:t>UK</w:t>
            </w:r>
            <w:r w:rsidR="007B752F" w:rsidRPr="00D445BF">
              <w:rPr>
                <w:sz w:val="20"/>
                <w:szCs w:val="20"/>
              </w:rPr>
              <w:t xml:space="preserve"> is a unit of the TDK Corporation, a leading global electronics company</w:t>
            </w:r>
            <w:r w:rsidR="007A1340">
              <w:rPr>
                <w:sz w:val="20"/>
                <w:szCs w:val="20"/>
              </w:rPr>
              <w:t xml:space="preserve"> part of a</w:t>
            </w:r>
            <w:r w:rsidR="00067298" w:rsidRPr="00D445BF">
              <w:rPr>
                <w:sz w:val="20"/>
                <w:szCs w:val="20"/>
              </w:rPr>
              <w:t xml:space="preserve"> large inter</w:t>
            </w:r>
            <w:r w:rsidRPr="00D445BF">
              <w:rPr>
                <w:sz w:val="20"/>
                <w:szCs w:val="20"/>
              </w:rPr>
              <w:t>national company.</w:t>
            </w:r>
            <w:r w:rsidR="00882A3E" w:rsidRPr="00D445BF">
              <w:rPr>
                <w:sz w:val="20"/>
                <w:szCs w:val="20"/>
              </w:rPr>
              <w:t xml:space="preserve"> </w:t>
            </w:r>
            <w:r w:rsidR="00D445BF">
              <w:rPr>
                <w:sz w:val="20"/>
                <w:szCs w:val="20"/>
              </w:rPr>
              <w:t xml:space="preserve">TDK </w:t>
            </w:r>
            <w:proofErr w:type="spellStart"/>
            <w:r w:rsidR="00D445BF">
              <w:rPr>
                <w:sz w:val="20"/>
                <w:szCs w:val="20"/>
              </w:rPr>
              <w:t>Lamda</w:t>
            </w:r>
            <w:proofErr w:type="spellEnd"/>
            <w:r w:rsidR="00D445BF">
              <w:rPr>
                <w:sz w:val="20"/>
                <w:szCs w:val="20"/>
              </w:rPr>
              <w:t xml:space="preserve"> is</w:t>
            </w:r>
            <w:r w:rsidR="00F325CF" w:rsidRPr="00D445BF">
              <w:rPr>
                <w:sz w:val="20"/>
                <w:szCs w:val="20"/>
              </w:rPr>
              <w:t xml:space="preserve"> now Britain’s largest designer and manufacturer of both standard and configurable AC-DC and DC-DC power supplies.  </w:t>
            </w:r>
            <w:r w:rsidRPr="00D445BF">
              <w:rPr>
                <w:sz w:val="20"/>
                <w:szCs w:val="20"/>
              </w:rPr>
              <w:t xml:space="preserve"> TDK</w:t>
            </w:r>
            <w:r w:rsidR="00F325CF" w:rsidRPr="00D445BF">
              <w:rPr>
                <w:sz w:val="20"/>
                <w:szCs w:val="20"/>
              </w:rPr>
              <w:t xml:space="preserve"> Lambda have an operational site based in</w:t>
            </w:r>
            <w:r w:rsidR="00882A3E" w:rsidRPr="00D445BF">
              <w:rPr>
                <w:sz w:val="20"/>
                <w:szCs w:val="20"/>
              </w:rPr>
              <w:t xml:space="preserve"> </w:t>
            </w:r>
            <w:proofErr w:type="spellStart"/>
            <w:r w:rsidR="00F325CF" w:rsidRPr="00D445BF">
              <w:rPr>
                <w:sz w:val="20"/>
                <w:szCs w:val="20"/>
              </w:rPr>
              <w:t>Ilfracombe</w:t>
            </w:r>
            <w:proofErr w:type="spellEnd"/>
            <w:r w:rsidR="00F325CF" w:rsidRPr="00D445BF">
              <w:rPr>
                <w:sz w:val="20"/>
                <w:szCs w:val="20"/>
              </w:rPr>
              <w:t>, North Devon in close proximity to Petroc</w:t>
            </w:r>
            <w:r w:rsidR="00D308E9" w:rsidRPr="00D445BF">
              <w:rPr>
                <w:sz w:val="20"/>
                <w:szCs w:val="20"/>
              </w:rPr>
              <w:t xml:space="preserve"> Barnstaple</w:t>
            </w:r>
            <w:r w:rsidRPr="00D445BF">
              <w:rPr>
                <w:sz w:val="20"/>
                <w:szCs w:val="20"/>
              </w:rPr>
              <w:t xml:space="preserve"> </w:t>
            </w:r>
            <w:proofErr w:type="gramStart"/>
            <w:r w:rsidRPr="00D445BF">
              <w:rPr>
                <w:sz w:val="20"/>
                <w:szCs w:val="20"/>
              </w:rPr>
              <w:t>si</w:t>
            </w:r>
            <w:r w:rsidR="00882A3E" w:rsidRPr="00D445BF">
              <w:rPr>
                <w:sz w:val="20"/>
                <w:szCs w:val="20"/>
              </w:rPr>
              <w:t>te .</w:t>
            </w:r>
            <w:proofErr w:type="gramEnd"/>
          </w:p>
          <w:p w:rsidR="00643F3C" w:rsidRPr="00D445BF" w:rsidRDefault="003F7F5A" w:rsidP="00643F3C">
            <w:pPr>
              <w:rPr>
                <w:sz w:val="20"/>
                <w:szCs w:val="20"/>
              </w:rPr>
            </w:pPr>
            <w:r w:rsidRPr="00D445BF">
              <w:rPr>
                <w:sz w:val="20"/>
                <w:szCs w:val="20"/>
              </w:rPr>
              <w:t>The company has a long history of training</w:t>
            </w:r>
            <w:r w:rsidR="00D445BF">
              <w:rPr>
                <w:sz w:val="20"/>
                <w:szCs w:val="20"/>
              </w:rPr>
              <w:t xml:space="preserve"> in collaboration with </w:t>
            </w:r>
            <w:proofErr w:type="spellStart"/>
            <w:r w:rsidR="00D445BF">
              <w:rPr>
                <w:sz w:val="20"/>
                <w:szCs w:val="20"/>
              </w:rPr>
              <w:t>Petroc</w:t>
            </w:r>
            <w:proofErr w:type="spellEnd"/>
            <w:r w:rsidR="007A1340">
              <w:rPr>
                <w:sz w:val="20"/>
                <w:szCs w:val="20"/>
              </w:rPr>
              <w:t xml:space="preserve"> with </w:t>
            </w:r>
            <w:proofErr w:type="gramStart"/>
            <w:r w:rsidR="007A1340">
              <w:rPr>
                <w:sz w:val="20"/>
                <w:szCs w:val="20"/>
              </w:rPr>
              <w:t>s</w:t>
            </w:r>
            <w:r w:rsidR="00882A3E" w:rsidRPr="00D445BF">
              <w:rPr>
                <w:sz w:val="20"/>
                <w:szCs w:val="20"/>
              </w:rPr>
              <w:t>taff  beginning</w:t>
            </w:r>
            <w:proofErr w:type="gramEnd"/>
            <w:r w:rsidR="00882A3E" w:rsidRPr="00D445BF">
              <w:rPr>
                <w:sz w:val="20"/>
                <w:szCs w:val="20"/>
              </w:rPr>
              <w:t xml:space="preserve">  as</w:t>
            </w:r>
            <w:r w:rsidRPr="00D445BF">
              <w:rPr>
                <w:sz w:val="20"/>
                <w:szCs w:val="20"/>
              </w:rPr>
              <w:t xml:space="preserve"> apprentice</w:t>
            </w:r>
            <w:r w:rsidR="00882A3E" w:rsidRPr="00D445BF">
              <w:rPr>
                <w:sz w:val="20"/>
                <w:szCs w:val="20"/>
              </w:rPr>
              <w:t>s on the  shop floor  and in some cases  progre</w:t>
            </w:r>
            <w:r w:rsidR="00D445BF">
              <w:rPr>
                <w:sz w:val="20"/>
                <w:szCs w:val="20"/>
              </w:rPr>
              <w:t xml:space="preserve">ssing  into management.  </w:t>
            </w:r>
            <w:proofErr w:type="spellStart"/>
            <w:r w:rsidR="00D445BF">
              <w:rPr>
                <w:sz w:val="20"/>
                <w:szCs w:val="20"/>
              </w:rPr>
              <w:t>Petroc</w:t>
            </w:r>
            <w:proofErr w:type="spellEnd"/>
            <w:r w:rsidR="007A1340">
              <w:rPr>
                <w:sz w:val="20"/>
                <w:szCs w:val="20"/>
              </w:rPr>
              <w:t xml:space="preserve"> facilitates </w:t>
            </w:r>
            <w:r w:rsidR="00882A3E" w:rsidRPr="00D445BF">
              <w:rPr>
                <w:sz w:val="20"/>
                <w:szCs w:val="20"/>
              </w:rPr>
              <w:t>level 2 and 3 A</w:t>
            </w:r>
            <w:r w:rsidRPr="00D445BF">
              <w:rPr>
                <w:sz w:val="20"/>
                <w:szCs w:val="20"/>
              </w:rPr>
              <w:t>pprentices</w:t>
            </w:r>
            <w:r w:rsidR="00882A3E" w:rsidRPr="00D445BF">
              <w:rPr>
                <w:sz w:val="20"/>
                <w:szCs w:val="20"/>
              </w:rPr>
              <w:t xml:space="preserve">hips </w:t>
            </w:r>
            <w:proofErr w:type="gramStart"/>
            <w:r w:rsidR="00882A3E" w:rsidRPr="00D445BF">
              <w:rPr>
                <w:sz w:val="20"/>
                <w:szCs w:val="20"/>
              </w:rPr>
              <w:t xml:space="preserve">and </w:t>
            </w:r>
            <w:r w:rsidRPr="00D445BF">
              <w:rPr>
                <w:sz w:val="20"/>
                <w:szCs w:val="20"/>
              </w:rPr>
              <w:t xml:space="preserve"> H</w:t>
            </w:r>
            <w:r w:rsidR="00882A3E" w:rsidRPr="00D445BF">
              <w:rPr>
                <w:sz w:val="20"/>
                <w:szCs w:val="20"/>
              </w:rPr>
              <w:t>igher</w:t>
            </w:r>
            <w:proofErr w:type="gramEnd"/>
            <w:r w:rsidR="00882A3E" w:rsidRPr="00D445BF">
              <w:rPr>
                <w:sz w:val="20"/>
                <w:szCs w:val="20"/>
              </w:rPr>
              <w:t xml:space="preserve"> </w:t>
            </w:r>
            <w:r w:rsidRPr="00D445BF">
              <w:rPr>
                <w:sz w:val="20"/>
                <w:szCs w:val="20"/>
              </w:rPr>
              <w:t>E</w:t>
            </w:r>
            <w:r w:rsidR="00882A3E" w:rsidRPr="00D445BF">
              <w:rPr>
                <w:sz w:val="20"/>
                <w:szCs w:val="20"/>
              </w:rPr>
              <w:t xml:space="preserve">ducation programmes to include  HNC </w:t>
            </w:r>
            <w:r w:rsidR="00472238" w:rsidRPr="00D445BF">
              <w:rPr>
                <w:sz w:val="20"/>
                <w:szCs w:val="20"/>
              </w:rPr>
              <w:t xml:space="preserve"> or F</w:t>
            </w:r>
            <w:r w:rsidRPr="00D445BF">
              <w:rPr>
                <w:sz w:val="20"/>
                <w:szCs w:val="20"/>
              </w:rPr>
              <w:t>oundatio</w:t>
            </w:r>
            <w:r w:rsidR="00472238" w:rsidRPr="00D445BF">
              <w:rPr>
                <w:sz w:val="20"/>
                <w:szCs w:val="20"/>
              </w:rPr>
              <w:t>n D</w:t>
            </w:r>
            <w:r w:rsidRPr="00D445BF">
              <w:rPr>
                <w:sz w:val="20"/>
                <w:szCs w:val="20"/>
              </w:rPr>
              <w:t>egree</w:t>
            </w:r>
            <w:r w:rsidR="00882A3E" w:rsidRPr="00D445BF">
              <w:rPr>
                <w:sz w:val="20"/>
                <w:szCs w:val="20"/>
              </w:rPr>
              <w:t>s.</w:t>
            </w:r>
          </w:p>
          <w:p w:rsidR="00067298" w:rsidRPr="00D445BF" w:rsidRDefault="00067298" w:rsidP="00643F3C">
            <w:pPr>
              <w:rPr>
                <w:sz w:val="20"/>
                <w:szCs w:val="20"/>
              </w:rPr>
            </w:pPr>
            <w:r w:rsidRPr="00D445BF">
              <w:rPr>
                <w:sz w:val="20"/>
                <w:szCs w:val="20"/>
              </w:rPr>
              <w:t>Shop Floor.....................Design and Development......................Research</w:t>
            </w:r>
          </w:p>
          <w:p w:rsidR="00067298" w:rsidRPr="00D445BF" w:rsidRDefault="00067298" w:rsidP="00643F3C">
            <w:pPr>
              <w:rPr>
                <w:sz w:val="20"/>
                <w:szCs w:val="20"/>
              </w:rPr>
            </w:pPr>
            <w:r w:rsidRPr="00D445BF">
              <w:rPr>
                <w:sz w:val="20"/>
                <w:szCs w:val="20"/>
              </w:rPr>
              <w:t>The motivation for developing researchers is to increase the number of staff capable of addressing business innovation- creating and developing new products to enable the company to be responsive to customer needs.</w:t>
            </w:r>
          </w:p>
          <w:p w:rsidR="00DD0850" w:rsidRPr="00D445BF" w:rsidRDefault="00DD0850" w:rsidP="00643F3C">
            <w:pPr>
              <w:rPr>
                <w:sz w:val="20"/>
                <w:szCs w:val="20"/>
              </w:rPr>
            </w:pPr>
            <w:r w:rsidRPr="00D445BF">
              <w:rPr>
                <w:sz w:val="20"/>
                <w:szCs w:val="20"/>
              </w:rPr>
              <w:t>The equipment that was purchased  by Petroc Staff having received a £5000 contribution from TDK Lambda  means that all learners are able to use industrial standard machinery, putting theory into practice whilst ensuring that they have the depth of  complex knowledge and skill to work in industry</w:t>
            </w:r>
            <w:r w:rsidR="00882A3E" w:rsidRPr="00D445BF">
              <w:rPr>
                <w:sz w:val="20"/>
                <w:szCs w:val="20"/>
              </w:rPr>
              <w:t xml:space="preserve"> </w:t>
            </w:r>
            <w:r w:rsidRPr="00D445BF">
              <w:rPr>
                <w:sz w:val="20"/>
                <w:szCs w:val="20"/>
              </w:rPr>
              <w:t>.</w:t>
            </w:r>
            <w:r w:rsidR="00882A3E" w:rsidRPr="00D445BF">
              <w:rPr>
                <w:sz w:val="20"/>
                <w:szCs w:val="20"/>
              </w:rPr>
              <w:t>Strong partnerships have mutually benefitted both organisations.</w:t>
            </w:r>
          </w:p>
        </w:tc>
      </w:tr>
    </w:tbl>
    <w:p w:rsidR="006E1EED" w:rsidRPr="00D445BF" w:rsidRDefault="006E1EED">
      <w:pPr>
        <w:rPr>
          <w:sz w:val="20"/>
          <w:szCs w:val="20"/>
        </w:rPr>
      </w:pPr>
      <w:r w:rsidRPr="00D445BF">
        <w:rPr>
          <w:noProof/>
          <w:sz w:val="20"/>
          <w:szCs w:val="20"/>
        </w:rPr>
        <w:drawing>
          <wp:anchor distT="0" distB="0" distL="114300" distR="114300" simplePos="0" relativeHeight="251664384" behindDoc="0" locked="0" layoutInCell="1" allowOverlap="1" wp14:anchorId="0FA97FD7" wp14:editId="749A0224">
            <wp:simplePos x="0" y="0"/>
            <wp:positionH relativeFrom="column">
              <wp:posOffset>-926465</wp:posOffset>
            </wp:positionH>
            <wp:positionV relativeFrom="paragraph">
              <wp:posOffset>-914400</wp:posOffset>
            </wp:positionV>
            <wp:extent cx="571500" cy="15430500"/>
            <wp:effectExtent l="0" t="0" r="0" b="0"/>
            <wp:wrapSquare wrapText="right"/>
            <wp:docPr id="4" name="Picture 4" descr="PETROC_PAT_RGB_Stri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C_PAT_RGB_Strip_"/>
                    <pic:cNvPicPr>
                      <a:picLocks noChangeAspect="1" noChangeArrowheads="1"/>
                    </pic:cNvPicPr>
                  </pic:nvPicPr>
                  <pic:blipFill>
                    <a:blip r:embed="rId10" cstate="print"/>
                    <a:srcRect/>
                    <a:stretch>
                      <a:fillRect/>
                    </a:stretch>
                  </pic:blipFill>
                  <pic:spPr bwMode="auto">
                    <a:xfrm>
                      <a:off x="0" y="0"/>
                      <a:ext cx="571500" cy="15430500"/>
                    </a:xfrm>
                    <a:prstGeom prst="rect">
                      <a:avLst/>
                    </a:prstGeom>
                    <a:noFill/>
                    <a:ln w="9525">
                      <a:noFill/>
                      <a:miter lim="800000"/>
                      <a:headEnd/>
                      <a:tailEnd/>
                    </a:ln>
                  </pic:spPr>
                </pic:pic>
              </a:graphicData>
            </a:graphic>
          </wp:anchor>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7836"/>
      </w:tblGrid>
      <w:tr w:rsidR="00E16765" w:rsidRPr="00D445BF" w:rsidTr="00D445BF">
        <w:trPr>
          <w:trHeight w:val="2507"/>
        </w:trPr>
        <w:tc>
          <w:tcPr>
            <w:tcW w:w="2337" w:type="dxa"/>
          </w:tcPr>
          <w:p w:rsidR="00773C9A" w:rsidRPr="00D445BF" w:rsidRDefault="00773C9A" w:rsidP="00E16765">
            <w:pPr>
              <w:rPr>
                <w:sz w:val="20"/>
                <w:szCs w:val="20"/>
              </w:rPr>
            </w:pPr>
          </w:p>
          <w:p w:rsidR="00E16765" w:rsidRPr="00D445BF" w:rsidRDefault="00773C9A" w:rsidP="00E16765">
            <w:pPr>
              <w:rPr>
                <w:sz w:val="20"/>
                <w:szCs w:val="20"/>
              </w:rPr>
            </w:pPr>
            <w:r w:rsidRPr="00D445BF">
              <w:rPr>
                <w:sz w:val="20"/>
                <w:szCs w:val="20"/>
              </w:rPr>
              <w:t>Project Leadership Roles and M</w:t>
            </w:r>
            <w:r w:rsidR="00E16765" w:rsidRPr="00D445BF">
              <w:rPr>
                <w:sz w:val="20"/>
                <w:szCs w:val="20"/>
              </w:rPr>
              <w:t>anagement</w:t>
            </w:r>
          </w:p>
        </w:tc>
        <w:tc>
          <w:tcPr>
            <w:tcW w:w="7836" w:type="dxa"/>
          </w:tcPr>
          <w:p w:rsidR="00B61D3C" w:rsidRPr="00D445BF" w:rsidRDefault="00B61D3C" w:rsidP="00B61D3C">
            <w:pPr>
              <w:rPr>
                <w:sz w:val="20"/>
                <w:szCs w:val="20"/>
              </w:rPr>
            </w:pPr>
          </w:p>
          <w:p w:rsidR="00B61D3C" w:rsidRPr="00D445BF" w:rsidRDefault="00B61D3C" w:rsidP="00B61D3C">
            <w:pPr>
              <w:rPr>
                <w:sz w:val="20"/>
                <w:szCs w:val="20"/>
              </w:rPr>
            </w:pPr>
            <w:r w:rsidRPr="00D445BF">
              <w:rPr>
                <w:sz w:val="20"/>
                <w:szCs w:val="20"/>
              </w:rPr>
              <w:t>Robert Coombes- Programme Manager for a number of Engineering focussed Foundation Degrees delivered in partnership with the University of Plymouth.</w:t>
            </w:r>
          </w:p>
          <w:p w:rsidR="004A0BEE" w:rsidRPr="00D445BF" w:rsidRDefault="004A0BEE" w:rsidP="00B61D3C">
            <w:pPr>
              <w:rPr>
                <w:sz w:val="20"/>
                <w:szCs w:val="20"/>
              </w:rPr>
            </w:pPr>
            <w:r w:rsidRPr="00D445BF">
              <w:rPr>
                <w:sz w:val="20"/>
                <w:szCs w:val="20"/>
              </w:rPr>
              <w:t>Cerian Ayres- Head of Quality, STEM Adviser South West</w:t>
            </w:r>
          </w:p>
          <w:p w:rsidR="00B61D3C" w:rsidRPr="00D445BF" w:rsidRDefault="00B61D3C" w:rsidP="00B61D3C">
            <w:pPr>
              <w:rPr>
                <w:sz w:val="20"/>
                <w:szCs w:val="20"/>
              </w:rPr>
            </w:pPr>
            <w:r w:rsidRPr="00D445BF">
              <w:rPr>
                <w:sz w:val="20"/>
                <w:szCs w:val="20"/>
              </w:rPr>
              <w:t>Robin Jefferies- TDK Lambda</w:t>
            </w:r>
          </w:p>
          <w:p w:rsidR="00B61D3C" w:rsidRPr="00D445BF" w:rsidRDefault="00B61D3C" w:rsidP="00B61D3C">
            <w:pPr>
              <w:rPr>
                <w:sz w:val="20"/>
                <w:szCs w:val="20"/>
              </w:rPr>
            </w:pPr>
            <w:r w:rsidRPr="00D445BF">
              <w:rPr>
                <w:sz w:val="20"/>
                <w:szCs w:val="20"/>
              </w:rPr>
              <w:t>Jane Warley- TDK Lambda- Training Manager</w:t>
            </w:r>
          </w:p>
          <w:p w:rsidR="00B61D3C" w:rsidRPr="00D445BF" w:rsidRDefault="00D445BF" w:rsidP="00B61D3C">
            <w:pPr>
              <w:rPr>
                <w:sz w:val="20"/>
                <w:szCs w:val="20"/>
              </w:rPr>
            </w:pPr>
            <w:r>
              <w:rPr>
                <w:sz w:val="20"/>
                <w:szCs w:val="20"/>
              </w:rPr>
              <w:t xml:space="preserve">            </w:t>
            </w:r>
          </w:p>
        </w:tc>
      </w:tr>
      <w:tr w:rsidR="00E16765" w:rsidRPr="00D445BF" w:rsidTr="00FC0E23">
        <w:trPr>
          <w:trHeight w:val="3635"/>
        </w:trPr>
        <w:tc>
          <w:tcPr>
            <w:tcW w:w="2337" w:type="dxa"/>
          </w:tcPr>
          <w:p w:rsidR="00E16765" w:rsidRPr="00D445BF" w:rsidRDefault="00773C9A" w:rsidP="00E16765">
            <w:pPr>
              <w:rPr>
                <w:sz w:val="20"/>
                <w:szCs w:val="20"/>
              </w:rPr>
            </w:pPr>
            <w:r w:rsidRPr="00D445BF">
              <w:rPr>
                <w:sz w:val="20"/>
                <w:szCs w:val="20"/>
              </w:rPr>
              <w:t xml:space="preserve">   </w:t>
            </w:r>
          </w:p>
          <w:p w:rsidR="00E16765" w:rsidRPr="00D445BF" w:rsidRDefault="00773C9A" w:rsidP="00E16765">
            <w:pPr>
              <w:rPr>
                <w:sz w:val="20"/>
                <w:szCs w:val="20"/>
              </w:rPr>
            </w:pPr>
            <w:r w:rsidRPr="00D445BF">
              <w:rPr>
                <w:sz w:val="20"/>
                <w:szCs w:val="20"/>
              </w:rPr>
              <w:t>Context and Background to the P</w:t>
            </w:r>
            <w:r w:rsidR="00E16765" w:rsidRPr="00D445BF">
              <w:rPr>
                <w:sz w:val="20"/>
                <w:szCs w:val="20"/>
              </w:rPr>
              <w:t>roject</w:t>
            </w:r>
          </w:p>
          <w:p w:rsidR="00E16765" w:rsidRPr="00D445BF" w:rsidRDefault="00E16765" w:rsidP="00E16765">
            <w:pPr>
              <w:rPr>
                <w:sz w:val="20"/>
                <w:szCs w:val="20"/>
              </w:rPr>
            </w:pPr>
          </w:p>
          <w:p w:rsidR="00E16765" w:rsidRPr="00D445BF" w:rsidRDefault="00E16765" w:rsidP="00E16765">
            <w:pPr>
              <w:rPr>
                <w:sz w:val="20"/>
                <w:szCs w:val="20"/>
              </w:rPr>
            </w:pPr>
          </w:p>
        </w:tc>
        <w:tc>
          <w:tcPr>
            <w:tcW w:w="7836" w:type="dxa"/>
          </w:tcPr>
          <w:p w:rsidR="00E16765" w:rsidRPr="00D445BF" w:rsidRDefault="003F7F5A" w:rsidP="00DE6CAF">
            <w:pPr>
              <w:rPr>
                <w:sz w:val="20"/>
                <w:szCs w:val="20"/>
              </w:rPr>
            </w:pPr>
            <w:r w:rsidRPr="00D445BF">
              <w:rPr>
                <w:sz w:val="20"/>
                <w:szCs w:val="20"/>
              </w:rPr>
              <w:t>The re</w:t>
            </w:r>
            <w:r w:rsidR="00955D5B" w:rsidRPr="00D445BF">
              <w:rPr>
                <w:sz w:val="20"/>
                <w:szCs w:val="20"/>
              </w:rPr>
              <w:t xml:space="preserve">lationship between Petroc and TDK Lambda </w:t>
            </w:r>
            <w:r w:rsidRPr="00D445BF">
              <w:rPr>
                <w:sz w:val="20"/>
                <w:szCs w:val="20"/>
              </w:rPr>
              <w:t>has dev</w:t>
            </w:r>
            <w:r w:rsidR="00D445BF">
              <w:rPr>
                <w:sz w:val="20"/>
                <w:szCs w:val="20"/>
              </w:rPr>
              <w:t>eloped over a twenty -</w:t>
            </w:r>
            <w:r w:rsidR="00DE6CAF" w:rsidRPr="00D445BF">
              <w:rPr>
                <w:sz w:val="20"/>
                <w:szCs w:val="20"/>
              </w:rPr>
              <w:t>year period. The college continues to provide respo</w:t>
            </w:r>
            <w:r w:rsidR="00D445BF">
              <w:rPr>
                <w:sz w:val="20"/>
                <w:szCs w:val="20"/>
              </w:rPr>
              <w:t xml:space="preserve">nsive CPD to meet the needs of </w:t>
            </w:r>
            <w:r w:rsidR="00DE6CAF" w:rsidRPr="00D445BF">
              <w:rPr>
                <w:sz w:val="20"/>
                <w:szCs w:val="20"/>
              </w:rPr>
              <w:t xml:space="preserve">local businesses. Training is designed to facilitate workforce development to support progression and business innovation.TDK Lambda is a progressive company </w:t>
            </w:r>
            <w:r w:rsidRPr="00D445BF">
              <w:rPr>
                <w:sz w:val="20"/>
                <w:szCs w:val="20"/>
              </w:rPr>
              <w:t>grow</w:t>
            </w:r>
            <w:r w:rsidR="00DE6CAF" w:rsidRPr="00D445BF">
              <w:rPr>
                <w:sz w:val="20"/>
                <w:szCs w:val="20"/>
              </w:rPr>
              <w:t xml:space="preserve">ing </w:t>
            </w:r>
            <w:r w:rsidRPr="00D445BF">
              <w:rPr>
                <w:sz w:val="20"/>
                <w:szCs w:val="20"/>
              </w:rPr>
              <w:t xml:space="preserve">its workforce from within, rather than </w:t>
            </w:r>
            <w:r w:rsidR="00DE6CAF" w:rsidRPr="00D445BF">
              <w:rPr>
                <w:sz w:val="20"/>
                <w:szCs w:val="20"/>
              </w:rPr>
              <w:t xml:space="preserve">employing </w:t>
            </w:r>
            <w:r w:rsidRPr="00D445BF">
              <w:rPr>
                <w:sz w:val="20"/>
                <w:szCs w:val="20"/>
              </w:rPr>
              <w:t xml:space="preserve"> people at m</w:t>
            </w:r>
            <w:r w:rsidR="00D308E9" w:rsidRPr="00D445BF">
              <w:rPr>
                <w:sz w:val="20"/>
                <w:szCs w:val="20"/>
              </w:rPr>
              <w:t>anagement level from outside , people often</w:t>
            </w:r>
            <w:r w:rsidRPr="00D445BF">
              <w:rPr>
                <w:sz w:val="20"/>
                <w:szCs w:val="20"/>
              </w:rPr>
              <w:t xml:space="preserve"> fresh out of education. </w:t>
            </w:r>
            <w:r w:rsidR="00DE6CAF" w:rsidRPr="00D445BF">
              <w:rPr>
                <w:sz w:val="20"/>
                <w:szCs w:val="20"/>
              </w:rPr>
              <w:t>Both organisations endeavouring to support the local community and economy.</w:t>
            </w:r>
          </w:p>
          <w:p w:rsidR="00DE6CAF" w:rsidRPr="00D445BF" w:rsidRDefault="00DE6CAF" w:rsidP="00DE6CAF">
            <w:pPr>
              <w:rPr>
                <w:sz w:val="20"/>
                <w:szCs w:val="20"/>
              </w:rPr>
            </w:pPr>
            <w:r w:rsidRPr="00D445BF">
              <w:rPr>
                <w:sz w:val="20"/>
                <w:szCs w:val="20"/>
              </w:rPr>
              <w:t xml:space="preserve">Close working relationships with employers such as TDK Lambda means that college </w:t>
            </w:r>
            <w:proofErr w:type="gramStart"/>
            <w:r w:rsidRPr="00D445BF">
              <w:rPr>
                <w:sz w:val="20"/>
                <w:szCs w:val="20"/>
              </w:rPr>
              <w:t>staff also keep</w:t>
            </w:r>
            <w:proofErr w:type="gramEnd"/>
            <w:r w:rsidRPr="00D445BF">
              <w:rPr>
                <w:sz w:val="20"/>
                <w:szCs w:val="20"/>
              </w:rPr>
              <w:t xml:space="preserve"> abreast of current industrial practice ensuring that the CPD provided is responsive</w:t>
            </w:r>
            <w:r w:rsidR="00D2181D" w:rsidRPr="00D445BF">
              <w:rPr>
                <w:sz w:val="20"/>
                <w:szCs w:val="20"/>
              </w:rPr>
              <w:t xml:space="preserve"> to employer learner needs</w:t>
            </w:r>
            <w:r w:rsidRPr="00D445BF">
              <w:rPr>
                <w:sz w:val="20"/>
                <w:szCs w:val="20"/>
              </w:rPr>
              <w:t>. For the college this ultimately sustains business as training programmes provided are valued by local businesses.</w:t>
            </w:r>
          </w:p>
        </w:tc>
      </w:tr>
      <w:tr w:rsidR="00E16765" w:rsidRPr="00D445BF" w:rsidTr="00FC0E23">
        <w:trPr>
          <w:trHeight w:val="3599"/>
        </w:trPr>
        <w:tc>
          <w:tcPr>
            <w:tcW w:w="2337" w:type="dxa"/>
          </w:tcPr>
          <w:p w:rsidR="00E16765" w:rsidRPr="00D445BF" w:rsidRDefault="00E16765" w:rsidP="00E16765">
            <w:pPr>
              <w:rPr>
                <w:sz w:val="20"/>
                <w:szCs w:val="20"/>
              </w:rPr>
            </w:pPr>
          </w:p>
          <w:p w:rsidR="00E16765" w:rsidRPr="00D445BF" w:rsidRDefault="00773C9A" w:rsidP="00E16765">
            <w:pPr>
              <w:rPr>
                <w:sz w:val="20"/>
                <w:szCs w:val="20"/>
              </w:rPr>
            </w:pPr>
            <w:r w:rsidRPr="00D445BF">
              <w:rPr>
                <w:sz w:val="20"/>
                <w:szCs w:val="20"/>
              </w:rPr>
              <w:t>Brief Description of the Project and its D</w:t>
            </w:r>
            <w:r w:rsidR="00E16765" w:rsidRPr="00D445BF">
              <w:rPr>
                <w:sz w:val="20"/>
                <w:szCs w:val="20"/>
              </w:rPr>
              <w:t>evelopment</w:t>
            </w:r>
          </w:p>
          <w:p w:rsidR="00E16765" w:rsidRPr="00D445BF" w:rsidRDefault="00E16765" w:rsidP="00E16765">
            <w:pPr>
              <w:rPr>
                <w:sz w:val="20"/>
                <w:szCs w:val="20"/>
              </w:rPr>
            </w:pPr>
          </w:p>
          <w:p w:rsidR="00E16765" w:rsidRPr="00D445BF" w:rsidRDefault="00E16765" w:rsidP="00E16765">
            <w:pPr>
              <w:rPr>
                <w:sz w:val="20"/>
                <w:szCs w:val="20"/>
              </w:rPr>
            </w:pPr>
          </w:p>
        </w:tc>
        <w:tc>
          <w:tcPr>
            <w:tcW w:w="7836" w:type="dxa"/>
          </w:tcPr>
          <w:p w:rsidR="00E16765" w:rsidRPr="00D445BF" w:rsidRDefault="00F5743E" w:rsidP="00F5743E">
            <w:pPr>
              <w:rPr>
                <w:sz w:val="20"/>
                <w:szCs w:val="20"/>
              </w:rPr>
            </w:pPr>
            <w:r w:rsidRPr="00D445BF">
              <w:rPr>
                <w:sz w:val="20"/>
                <w:szCs w:val="20"/>
              </w:rPr>
              <w:t xml:space="preserve">To further develop effective partnerships between TDK Lambda and Petroc to </w:t>
            </w:r>
            <w:r w:rsidR="00C74573" w:rsidRPr="00D445BF">
              <w:rPr>
                <w:sz w:val="20"/>
                <w:szCs w:val="20"/>
              </w:rPr>
              <w:t>ensure that the college is responsive to the training needs of the company</w:t>
            </w:r>
            <w:r w:rsidR="0097306E" w:rsidRPr="00D445BF">
              <w:rPr>
                <w:sz w:val="20"/>
                <w:szCs w:val="20"/>
              </w:rPr>
              <w:t>.</w:t>
            </w:r>
          </w:p>
          <w:p w:rsidR="00F5743E" w:rsidRPr="00D445BF" w:rsidRDefault="00F5743E" w:rsidP="00F5743E">
            <w:pPr>
              <w:rPr>
                <w:sz w:val="20"/>
                <w:szCs w:val="20"/>
              </w:rPr>
            </w:pPr>
            <w:r w:rsidRPr="00D445BF">
              <w:rPr>
                <w:sz w:val="20"/>
                <w:szCs w:val="20"/>
              </w:rPr>
              <w:t>To review current provision and its effectiveness in terms of meeting the needs of the company- organisational needs analysis</w:t>
            </w:r>
          </w:p>
          <w:p w:rsidR="00F5743E" w:rsidRPr="00D445BF" w:rsidRDefault="00C74573" w:rsidP="00F5743E">
            <w:pPr>
              <w:rPr>
                <w:sz w:val="20"/>
                <w:szCs w:val="20"/>
              </w:rPr>
            </w:pPr>
            <w:r w:rsidRPr="00D445BF">
              <w:rPr>
                <w:sz w:val="20"/>
                <w:szCs w:val="20"/>
              </w:rPr>
              <w:t>To plan in collaboration</w:t>
            </w:r>
            <w:r w:rsidR="00311138" w:rsidRPr="00D445BF">
              <w:rPr>
                <w:sz w:val="20"/>
                <w:szCs w:val="20"/>
              </w:rPr>
              <w:t>,</w:t>
            </w:r>
            <w:r w:rsidRPr="00D445BF">
              <w:rPr>
                <w:sz w:val="20"/>
                <w:szCs w:val="20"/>
              </w:rPr>
              <w:t xml:space="preserve"> the c</w:t>
            </w:r>
            <w:r w:rsidR="00F5743E" w:rsidRPr="00D445BF">
              <w:rPr>
                <w:sz w:val="20"/>
                <w:szCs w:val="20"/>
              </w:rPr>
              <w:t xml:space="preserve">ontinuing professional development programmes required by staff at both organisations. Learning conversations facilitating knowledge and technology transfer will continue to be vital </w:t>
            </w:r>
          </w:p>
          <w:p w:rsidR="00F5743E" w:rsidRPr="00D445BF" w:rsidRDefault="00F5743E" w:rsidP="00F5743E">
            <w:pPr>
              <w:rPr>
                <w:sz w:val="20"/>
                <w:szCs w:val="20"/>
              </w:rPr>
            </w:pPr>
            <w:r w:rsidRPr="00D445BF">
              <w:rPr>
                <w:sz w:val="20"/>
                <w:szCs w:val="20"/>
              </w:rPr>
              <w:t>To discuss resources and requirements</w:t>
            </w:r>
          </w:p>
          <w:p w:rsidR="00F5743E" w:rsidRPr="00D445BF" w:rsidRDefault="00F5743E" w:rsidP="00F5743E">
            <w:pPr>
              <w:rPr>
                <w:sz w:val="20"/>
                <w:szCs w:val="20"/>
              </w:rPr>
            </w:pPr>
            <w:r w:rsidRPr="00D445BF">
              <w:rPr>
                <w:sz w:val="20"/>
                <w:szCs w:val="20"/>
              </w:rPr>
              <w:t>To facilitate flexible and responsive CPD to enable</w:t>
            </w:r>
            <w:r w:rsidR="00311138" w:rsidRPr="00D445BF">
              <w:rPr>
                <w:sz w:val="20"/>
                <w:szCs w:val="20"/>
              </w:rPr>
              <w:t xml:space="preserve"> </w:t>
            </w:r>
            <w:r w:rsidR="00D445BF">
              <w:rPr>
                <w:sz w:val="20"/>
                <w:szCs w:val="20"/>
              </w:rPr>
              <w:t xml:space="preserve">the </w:t>
            </w:r>
            <w:r w:rsidRPr="00D445BF">
              <w:rPr>
                <w:sz w:val="20"/>
                <w:szCs w:val="20"/>
              </w:rPr>
              <w:t>up</w:t>
            </w:r>
            <w:r w:rsidR="00311138" w:rsidRPr="00D445BF">
              <w:rPr>
                <w:sz w:val="20"/>
                <w:szCs w:val="20"/>
              </w:rPr>
              <w:t>-</w:t>
            </w:r>
            <w:r w:rsidRPr="00D445BF">
              <w:rPr>
                <w:sz w:val="20"/>
                <w:szCs w:val="20"/>
              </w:rPr>
              <w:t xml:space="preserve"> skilling of the workforces of both organisations. </w:t>
            </w:r>
          </w:p>
          <w:p w:rsidR="00C74573" w:rsidRPr="00D445BF" w:rsidRDefault="00C74573" w:rsidP="00F5743E">
            <w:pPr>
              <w:rPr>
                <w:sz w:val="20"/>
                <w:szCs w:val="20"/>
              </w:rPr>
            </w:pPr>
            <w:r w:rsidRPr="00D445BF">
              <w:rPr>
                <w:sz w:val="20"/>
                <w:szCs w:val="20"/>
              </w:rPr>
              <w:t>To share and d</w:t>
            </w:r>
            <w:r w:rsidR="00D445BF">
              <w:rPr>
                <w:sz w:val="20"/>
                <w:szCs w:val="20"/>
              </w:rPr>
              <w:t>isseminate good practice widely</w:t>
            </w:r>
            <w:r w:rsidRPr="00D445BF">
              <w:rPr>
                <w:sz w:val="20"/>
                <w:szCs w:val="20"/>
              </w:rPr>
              <w:t xml:space="preserve"> with other HEIs</w:t>
            </w:r>
            <w:r w:rsidR="00311138" w:rsidRPr="00D445BF">
              <w:rPr>
                <w:sz w:val="20"/>
                <w:szCs w:val="20"/>
              </w:rPr>
              <w:t xml:space="preserve"> and organisations throughout the Post 16 and Skills Sector.</w:t>
            </w:r>
          </w:p>
        </w:tc>
      </w:tr>
      <w:tr w:rsidR="00E16765" w:rsidRPr="00D445BF" w:rsidTr="00EF0E75">
        <w:trPr>
          <w:trHeight w:val="1784"/>
        </w:trPr>
        <w:tc>
          <w:tcPr>
            <w:tcW w:w="2337" w:type="dxa"/>
          </w:tcPr>
          <w:p w:rsidR="00E16765" w:rsidRPr="00D445BF" w:rsidRDefault="00E16765" w:rsidP="00E16765">
            <w:pPr>
              <w:rPr>
                <w:sz w:val="20"/>
                <w:szCs w:val="20"/>
              </w:rPr>
            </w:pPr>
          </w:p>
          <w:p w:rsidR="00E16765" w:rsidRPr="00D445BF" w:rsidRDefault="00E16765" w:rsidP="00E16765">
            <w:pPr>
              <w:rPr>
                <w:sz w:val="20"/>
                <w:szCs w:val="20"/>
              </w:rPr>
            </w:pPr>
            <w:r w:rsidRPr="00D445BF">
              <w:rPr>
                <w:sz w:val="20"/>
                <w:szCs w:val="20"/>
              </w:rPr>
              <w:t>Funding</w:t>
            </w:r>
          </w:p>
          <w:p w:rsidR="00E16765" w:rsidRPr="00D445BF" w:rsidRDefault="00E16765" w:rsidP="00E16765">
            <w:pPr>
              <w:rPr>
                <w:sz w:val="20"/>
                <w:szCs w:val="20"/>
              </w:rPr>
            </w:pPr>
          </w:p>
        </w:tc>
        <w:tc>
          <w:tcPr>
            <w:tcW w:w="7836" w:type="dxa"/>
          </w:tcPr>
          <w:p w:rsidR="00AB5B3C" w:rsidRPr="00D445BF" w:rsidRDefault="00AB5B3C" w:rsidP="00AB5B3C">
            <w:pPr>
              <w:rPr>
                <w:sz w:val="20"/>
                <w:szCs w:val="20"/>
              </w:rPr>
            </w:pPr>
            <w:r w:rsidRPr="00D445BF">
              <w:rPr>
                <w:sz w:val="20"/>
                <w:szCs w:val="20"/>
              </w:rPr>
              <w:t xml:space="preserve">Learning Programme Funding for Employer </w:t>
            </w:r>
            <w:r w:rsidR="00311138" w:rsidRPr="00D445BF">
              <w:rPr>
                <w:sz w:val="20"/>
                <w:szCs w:val="20"/>
              </w:rPr>
              <w:t>Learners’</w:t>
            </w:r>
            <w:r w:rsidRPr="00D445BF">
              <w:rPr>
                <w:sz w:val="20"/>
                <w:szCs w:val="20"/>
              </w:rPr>
              <w:t xml:space="preserve"> </w:t>
            </w:r>
            <w:proofErr w:type="gramStart"/>
            <w:r w:rsidRPr="00D445BF">
              <w:rPr>
                <w:sz w:val="20"/>
                <w:szCs w:val="20"/>
              </w:rPr>
              <w:t>E</w:t>
            </w:r>
            <w:r w:rsidR="003F7F5A" w:rsidRPr="00D445BF">
              <w:rPr>
                <w:sz w:val="20"/>
                <w:szCs w:val="20"/>
              </w:rPr>
              <w:t>duc</w:t>
            </w:r>
            <w:r w:rsidRPr="00D445BF">
              <w:rPr>
                <w:sz w:val="20"/>
                <w:szCs w:val="20"/>
              </w:rPr>
              <w:t>ation .</w:t>
            </w:r>
            <w:proofErr w:type="gramEnd"/>
          </w:p>
          <w:p w:rsidR="00AB5B3C" w:rsidRPr="00D445BF" w:rsidRDefault="00AB5B3C" w:rsidP="00AB5B3C">
            <w:pPr>
              <w:rPr>
                <w:sz w:val="20"/>
                <w:szCs w:val="20"/>
              </w:rPr>
            </w:pPr>
            <w:r w:rsidRPr="00D445BF">
              <w:rPr>
                <w:sz w:val="20"/>
                <w:szCs w:val="20"/>
              </w:rPr>
              <w:t>Innovation Funds</w:t>
            </w:r>
          </w:p>
          <w:p w:rsidR="00AB5B3C" w:rsidRPr="00D445BF" w:rsidRDefault="00AB5B3C" w:rsidP="00AB5B3C">
            <w:pPr>
              <w:rPr>
                <w:sz w:val="20"/>
                <w:szCs w:val="20"/>
              </w:rPr>
            </w:pPr>
            <w:r w:rsidRPr="00D445BF">
              <w:rPr>
                <w:sz w:val="20"/>
                <w:szCs w:val="20"/>
              </w:rPr>
              <w:t>HE STEM Funding</w:t>
            </w:r>
          </w:p>
          <w:p w:rsidR="00AB5B3C" w:rsidRPr="00D445BF" w:rsidRDefault="00AB5B3C" w:rsidP="00AB5B3C">
            <w:pPr>
              <w:rPr>
                <w:sz w:val="20"/>
                <w:szCs w:val="20"/>
              </w:rPr>
            </w:pPr>
            <w:r w:rsidRPr="00D445BF">
              <w:rPr>
                <w:sz w:val="20"/>
                <w:szCs w:val="20"/>
              </w:rPr>
              <w:t>LSIS STEM Funding</w:t>
            </w:r>
          </w:p>
        </w:tc>
      </w:tr>
    </w:tbl>
    <w:p w:rsidR="006E1EED" w:rsidRPr="00D445BF" w:rsidRDefault="00643F3C">
      <w:pPr>
        <w:rPr>
          <w:sz w:val="20"/>
          <w:szCs w:val="20"/>
        </w:rPr>
      </w:pPr>
      <w:r w:rsidRPr="00D445BF">
        <w:rPr>
          <w:sz w:val="20"/>
          <w:szCs w:val="20"/>
        </w:rPr>
        <w:br w:type="page"/>
      </w:r>
      <w:r w:rsidR="006E1EED" w:rsidRPr="00D445BF">
        <w:rPr>
          <w:noProof/>
          <w:sz w:val="20"/>
          <w:szCs w:val="20"/>
        </w:rPr>
        <w:drawing>
          <wp:anchor distT="0" distB="0" distL="114300" distR="114300" simplePos="0" relativeHeight="251666432" behindDoc="0" locked="0" layoutInCell="1" allowOverlap="1" wp14:anchorId="53511145" wp14:editId="68105703">
            <wp:simplePos x="0" y="0"/>
            <wp:positionH relativeFrom="column">
              <wp:posOffset>-926465</wp:posOffset>
            </wp:positionH>
            <wp:positionV relativeFrom="paragraph">
              <wp:posOffset>-914400</wp:posOffset>
            </wp:positionV>
            <wp:extent cx="571500" cy="15430500"/>
            <wp:effectExtent l="0" t="0" r="0" b="0"/>
            <wp:wrapSquare wrapText="right"/>
            <wp:docPr id="6" name="Picture 6" descr="PETROC_PAT_RGB_Stri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C_PAT_RGB_Strip_"/>
                    <pic:cNvPicPr>
                      <a:picLocks noChangeAspect="1" noChangeArrowheads="1"/>
                    </pic:cNvPicPr>
                  </pic:nvPicPr>
                  <pic:blipFill>
                    <a:blip r:embed="rId10" cstate="print"/>
                    <a:srcRect/>
                    <a:stretch>
                      <a:fillRect/>
                    </a:stretch>
                  </pic:blipFill>
                  <pic:spPr bwMode="auto">
                    <a:xfrm>
                      <a:off x="0" y="0"/>
                      <a:ext cx="571500" cy="15430500"/>
                    </a:xfrm>
                    <a:prstGeom prst="rect">
                      <a:avLst/>
                    </a:prstGeom>
                    <a:noFill/>
                    <a:ln w="9525">
                      <a:noFill/>
                      <a:miter lim="800000"/>
                      <a:headEnd/>
                      <a:tailEnd/>
                    </a:ln>
                  </pic:spPr>
                </pic:pic>
              </a:graphicData>
            </a:graphic>
          </wp:anchor>
        </w:drawing>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6945"/>
      </w:tblGrid>
      <w:tr w:rsidR="00EA1980" w:rsidRPr="00D445BF" w:rsidTr="001A0F8E">
        <w:trPr>
          <w:trHeight w:val="2775"/>
        </w:trPr>
        <w:tc>
          <w:tcPr>
            <w:tcW w:w="2294" w:type="dxa"/>
          </w:tcPr>
          <w:p w:rsidR="00EA1980" w:rsidRPr="00D445BF" w:rsidRDefault="00EA1980" w:rsidP="00E16765">
            <w:pPr>
              <w:rPr>
                <w:sz w:val="20"/>
                <w:szCs w:val="20"/>
              </w:rPr>
            </w:pPr>
          </w:p>
          <w:p w:rsidR="00EA1980" w:rsidRPr="00D445BF" w:rsidRDefault="00EA1980" w:rsidP="00E16765">
            <w:pPr>
              <w:rPr>
                <w:sz w:val="20"/>
                <w:szCs w:val="20"/>
              </w:rPr>
            </w:pPr>
            <w:r w:rsidRPr="00D445BF">
              <w:rPr>
                <w:sz w:val="20"/>
                <w:szCs w:val="20"/>
              </w:rPr>
              <w:t>Factors supporting the project</w:t>
            </w:r>
          </w:p>
          <w:p w:rsidR="00EA1980" w:rsidRPr="00D445BF" w:rsidRDefault="00EA1980" w:rsidP="00E16765">
            <w:pPr>
              <w:rPr>
                <w:sz w:val="20"/>
                <w:szCs w:val="20"/>
              </w:rPr>
            </w:pPr>
          </w:p>
        </w:tc>
        <w:tc>
          <w:tcPr>
            <w:tcW w:w="6945" w:type="dxa"/>
          </w:tcPr>
          <w:p w:rsidR="00EA1980" w:rsidRPr="00D445BF" w:rsidRDefault="002A4CD5" w:rsidP="002A4CD5">
            <w:pPr>
              <w:rPr>
                <w:sz w:val="20"/>
                <w:szCs w:val="20"/>
              </w:rPr>
            </w:pPr>
            <w:r w:rsidRPr="00D445BF">
              <w:rPr>
                <w:sz w:val="20"/>
                <w:szCs w:val="20"/>
              </w:rPr>
              <w:t>Established good working relationships between Petroc and TDK Lambda.</w:t>
            </w:r>
          </w:p>
          <w:p w:rsidR="002A4CD5" w:rsidRPr="00D445BF" w:rsidRDefault="002A4CD5" w:rsidP="002A4CD5">
            <w:pPr>
              <w:rPr>
                <w:sz w:val="20"/>
                <w:szCs w:val="20"/>
              </w:rPr>
            </w:pPr>
            <w:r w:rsidRPr="00D445BF">
              <w:rPr>
                <w:sz w:val="20"/>
                <w:szCs w:val="20"/>
              </w:rPr>
              <w:t>A commitment by the college to facilitate quality improvement in its teaching  and learning provision ensuring that all staff are fully engaged with their continuing professional development.</w:t>
            </w:r>
          </w:p>
          <w:p w:rsidR="002A4CD5" w:rsidRPr="00D445BF" w:rsidRDefault="002A4CD5" w:rsidP="002A4CD5">
            <w:pPr>
              <w:rPr>
                <w:sz w:val="20"/>
                <w:szCs w:val="20"/>
              </w:rPr>
            </w:pPr>
            <w:r w:rsidRPr="00D445BF">
              <w:rPr>
                <w:sz w:val="20"/>
                <w:szCs w:val="20"/>
              </w:rPr>
              <w:t>Rigorous reviews of the quality of programmes being delivered by both the Petroc Quality Team and that of the University of Plymouth.</w:t>
            </w:r>
          </w:p>
          <w:p w:rsidR="002A4CD5" w:rsidRPr="00D445BF" w:rsidRDefault="002A4CD5" w:rsidP="002A4CD5">
            <w:pPr>
              <w:rPr>
                <w:sz w:val="20"/>
                <w:szCs w:val="20"/>
              </w:rPr>
            </w:pPr>
            <w:r w:rsidRPr="00D445BF">
              <w:rPr>
                <w:sz w:val="20"/>
                <w:szCs w:val="20"/>
              </w:rPr>
              <w:t>Review of the provision is conducted regularly. Petroc staff work</w:t>
            </w:r>
            <w:r w:rsidR="00D308E9" w:rsidRPr="00D445BF">
              <w:rPr>
                <w:sz w:val="20"/>
                <w:szCs w:val="20"/>
              </w:rPr>
              <w:t xml:space="preserve"> with</w:t>
            </w:r>
            <w:r w:rsidRPr="00D445BF">
              <w:rPr>
                <w:sz w:val="20"/>
                <w:szCs w:val="20"/>
              </w:rPr>
              <w:t xml:space="preserve"> the company to complete an organisational needs analysis to ensure that the CPD programmes on offer are responsive to the companies needs.</w:t>
            </w:r>
          </w:p>
          <w:p w:rsidR="002A4CD5" w:rsidRPr="00D445BF" w:rsidRDefault="002A4CD5" w:rsidP="002A4CD5">
            <w:pPr>
              <w:rPr>
                <w:sz w:val="20"/>
                <w:szCs w:val="20"/>
              </w:rPr>
            </w:pPr>
            <w:r w:rsidRPr="00D445BF">
              <w:rPr>
                <w:sz w:val="20"/>
                <w:szCs w:val="20"/>
              </w:rPr>
              <w:t>Analysis of Employer satisfaction surveys to enable quality improvement year on year.</w:t>
            </w:r>
          </w:p>
        </w:tc>
      </w:tr>
      <w:tr w:rsidR="00E16765" w:rsidRPr="00D445BF" w:rsidTr="00EF0E75">
        <w:trPr>
          <w:trHeight w:val="2131"/>
        </w:trPr>
        <w:tc>
          <w:tcPr>
            <w:tcW w:w="2294" w:type="dxa"/>
          </w:tcPr>
          <w:p w:rsidR="00E16765" w:rsidRPr="00D445BF" w:rsidRDefault="00E16765" w:rsidP="00E16765">
            <w:pPr>
              <w:rPr>
                <w:sz w:val="20"/>
                <w:szCs w:val="20"/>
              </w:rPr>
            </w:pPr>
          </w:p>
          <w:p w:rsidR="00EA1980" w:rsidRPr="00D445BF" w:rsidRDefault="00EA1980" w:rsidP="00E16765">
            <w:pPr>
              <w:rPr>
                <w:sz w:val="20"/>
                <w:szCs w:val="20"/>
              </w:rPr>
            </w:pPr>
            <w:r w:rsidRPr="00D445BF">
              <w:rPr>
                <w:sz w:val="20"/>
                <w:szCs w:val="20"/>
              </w:rPr>
              <w:t>Benefits</w:t>
            </w:r>
          </w:p>
        </w:tc>
        <w:tc>
          <w:tcPr>
            <w:tcW w:w="6945" w:type="dxa"/>
          </w:tcPr>
          <w:p w:rsidR="00E16765" w:rsidRPr="00D445BF" w:rsidRDefault="005436D5" w:rsidP="002A4CD5">
            <w:pPr>
              <w:rPr>
                <w:sz w:val="20"/>
                <w:szCs w:val="20"/>
              </w:rPr>
            </w:pPr>
            <w:r w:rsidRPr="00D445BF">
              <w:rPr>
                <w:sz w:val="20"/>
                <w:szCs w:val="20"/>
              </w:rPr>
              <w:t xml:space="preserve">Facilitating continuing professional </w:t>
            </w:r>
            <w:r w:rsidR="00A841F1" w:rsidRPr="00D445BF">
              <w:rPr>
                <w:sz w:val="20"/>
                <w:szCs w:val="20"/>
              </w:rPr>
              <w:t xml:space="preserve">development </w:t>
            </w:r>
            <w:proofErr w:type="gramStart"/>
            <w:r w:rsidR="00A841F1" w:rsidRPr="00D445BF">
              <w:rPr>
                <w:sz w:val="20"/>
                <w:szCs w:val="20"/>
              </w:rPr>
              <w:t>for</w:t>
            </w:r>
            <w:r w:rsidRPr="00D445BF">
              <w:rPr>
                <w:sz w:val="20"/>
                <w:szCs w:val="20"/>
              </w:rPr>
              <w:t xml:space="preserve"> </w:t>
            </w:r>
            <w:r w:rsidR="00555DF1" w:rsidRPr="00D445BF">
              <w:rPr>
                <w:sz w:val="20"/>
                <w:szCs w:val="20"/>
              </w:rPr>
              <w:t xml:space="preserve"> the</w:t>
            </w:r>
            <w:proofErr w:type="gramEnd"/>
            <w:r w:rsidR="00555DF1" w:rsidRPr="00D445BF">
              <w:rPr>
                <w:sz w:val="20"/>
                <w:szCs w:val="20"/>
              </w:rPr>
              <w:t xml:space="preserve"> TDK Lambda</w:t>
            </w:r>
            <w:r w:rsidRPr="00D445BF">
              <w:rPr>
                <w:sz w:val="20"/>
                <w:szCs w:val="20"/>
              </w:rPr>
              <w:t xml:space="preserve"> staff </w:t>
            </w:r>
            <w:r w:rsidR="00E5161F" w:rsidRPr="00D445BF">
              <w:rPr>
                <w:sz w:val="20"/>
                <w:szCs w:val="20"/>
              </w:rPr>
              <w:t xml:space="preserve"> at Petroc</w:t>
            </w:r>
            <w:r w:rsidRPr="00D445BF">
              <w:rPr>
                <w:sz w:val="20"/>
                <w:szCs w:val="20"/>
              </w:rPr>
              <w:t xml:space="preserve"> or onsite </w:t>
            </w:r>
            <w:r w:rsidR="00E5161F" w:rsidRPr="00D445BF">
              <w:rPr>
                <w:sz w:val="20"/>
                <w:szCs w:val="20"/>
              </w:rPr>
              <w:t xml:space="preserve"> has enabled the compa</w:t>
            </w:r>
            <w:r w:rsidR="007B752F" w:rsidRPr="00D445BF">
              <w:rPr>
                <w:sz w:val="20"/>
                <w:szCs w:val="20"/>
              </w:rPr>
              <w:t>ny to offer training</w:t>
            </w:r>
            <w:r w:rsidRPr="00D445BF">
              <w:rPr>
                <w:sz w:val="20"/>
                <w:szCs w:val="20"/>
              </w:rPr>
              <w:t xml:space="preserve"> </w:t>
            </w:r>
            <w:r w:rsidR="00E5161F" w:rsidRPr="00D445BF">
              <w:rPr>
                <w:sz w:val="20"/>
                <w:szCs w:val="20"/>
              </w:rPr>
              <w:t xml:space="preserve"> to</w:t>
            </w:r>
            <w:r w:rsidR="00A841F1" w:rsidRPr="00D445BF">
              <w:rPr>
                <w:sz w:val="20"/>
                <w:szCs w:val="20"/>
              </w:rPr>
              <w:t xml:space="preserve"> their employees providing</w:t>
            </w:r>
            <w:r w:rsidRPr="00D445BF">
              <w:rPr>
                <w:sz w:val="20"/>
                <w:szCs w:val="20"/>
              </w:rPr>
              <w:t xml:space="preserve"> individuals</w:t>
            </w:r>
            <w:r w:rsidR="00311138" w:rsidRPr="00D445BF">
              <w:rPr>
                <w:sz w:val="20"/>
                <w:szCs w:val="20"/>
              </w:rPr>
              <w:t xml:space="preserve"> with</w:t>
            </w:r>
            <w:r w:rsidRPr="00D445BF">
              <w:rPr>
                <w:sz w:val="20"/>
                <w:szCs w:val="20"/>
              </w:rPr>
              <w:t xml:space="preserve"> career progression opportunities , up- skilling of the workforce whilst </w:t>
            </w:r>
            <w:r w:rsidR="00E5161F" w:rsidRPr="00D445BF">
              <w:rPr>
                <w:sz w:val="20"/>
                <w:szCs w:val="20"/>
              </w:rPr>
              <w:t xml:space="preserve"> ensuring that the growth of the company has been possible locally.  It has also benefitted Petroc in</w:t>
            </w:r>
            <w:r w:rsidRPr="00D445BF">
              <w:rPr>
                <w:sz w:val="20"/>
                <w:szCs w:val="20"/>
              </w:rPr>
              <w:t xml:space="preserve"> terms of CPD for staff, learner opportunities, business opportunities </w:t>
            </w:r>
            <w:proofErr w:type="gramStart"/>
            <w:r w:rsidRPr="00D445BF">
              <w:rPr>
                <w:sz w:val="20"/>
                <w:szCs w:val="20"/>
              </w:rPr>
              <w:t xml:space="preserve">and </w:t>
            </w:r>
            <w:r w:rsidR="00E5161F" w:rsidRPr="00D445BF">
              <w:rPr>
                <w:sz w:val="20"/>
                <w:szCs w:val="20"/>
              </w:rPr>
              <w:t xml:space="preserve"> its</w:t>
            </w:r>
            <w:proofErr w:type="gramEnd"/>
            <w:r w:rsidR="00E5161F" w:rsidRPr="00D445BF">
              <w:rPr>
                <w:sz w:val="20"/>
                <w:szCs w:val="20"/>
              </w:rPr>
              <w:t xml:space="preserve"> ability to advise and support other local businesses wanting to follow a simi</w:t>
            </w:r>
            <w:r w:rsidR="00A33C45" w:rsidRPr="00D445BF">
              <w:rPr>
                <w:sz w:val="20"/>
                <w:szCs w:val="20"/>
              </w:rPr>
              <w:t>l</w:t>
            </w:r>
            <w:r w:rsidR="00311138" w:rsidRPr="00D445BF">
              <w:rPr>
                <w:sz w:val="20"/>
                <w:szCs w:val="20"/>
              </w:rPr>
              <w:t>ar route</w:t>
            </w:r>
            <w:r w:rsidR="00555DF1" w:rsidRPr="00D445BF">
              <w:rPr>
                <w:sz w:val="20"/>
                <w:szCs w:val="20"/>
              </w:rPr>
              <w:t xml:space="preserve"> to  TDK Lambda</w:t>
            </w:r>
            <w:r w:rsidR="00E5161F" w:rsidRPr="00D445BF">
              <w:rPr>
                <w:sz w:val="20"/>
                <w:szCs w:val="20"/>
              </w:rPr>
              <w:t>.</w:t>
            </w:r>
          </w:p>
        </w:tc>
      </w:tr>
      <w:tr w:rsidR="00EA1980" w:rsidRPr="00D445BF" w:rsidTr="001A0F8E">
        <w:trPr>
          <w:trHeight w:val="4125"/>
        </w:trPr>
        <w:tc>
          <w:tcPr>
            <w:tcW w:w="2294" w:type="dxa"/>
          </w:tcPr>
          <w:p w:rsidR="00EA1980" w:rsidRPr="00D445BF" w:rsidRDefault="00EA1980" w:rsidP="00E16765">
            <w:pPr>
              <w:rPr>
                <w:sz w:val="20"/>
                <w:szCs w:val="20"/>
              </w:rPr>
            </w:pPr>
          </w:p>
          <w:p w:rsidR="00EA1980" w:rsidRPr="00D445BF" w:rsidRDefault="00C82A97" w:rsidP="00E16765">
            <w:pPr>
              <w:rPr>
                <w:sz w:val="20"/>
                <w:szCs w:val="20"/>
              </w:rPr>
            </w:pPr>
            <w:r w:rsidRPr="00D445BF">
              <w:rPr>
                <w:sz w:val="20"/>
                <w:szCs w:val="20"/>
              </w:rPr>
              <w:t>Future Activiti</w:t>
            </w:r>
            <w:r w:rsidR="00773C9A" w:rsidRPr="00D445BF">
              <w:rPr>
                <w:sz w:val="20"/>
                <w:szCs w:val="20"/>
              </w:rPr>
              <w:t>es and S</w:t>
            </w:r>
            <w:r w:rsidR="00EA1980" w:rsidRPr="00D445BF">
              <w:rPr>
                <w:sz w:val="20"/>
                <w:szCs w:val="20"/>
              </w:rPr>
              <w:t>ustainability</w:t>
            </w:r>
          </w:p>
          <w:p w:rsidR="00EA1980" w:rsidRPr="00D445BF" w:rsidRDefault="00EA1980" w:rsidP="00E16765">
            <w:pPr>
              <w:rPr>
                <w:sz w:val="20"/>
                <w:szCs w:val="20"/>
              </w:rPr>
            </w:pPr>
          </w:p>
          <w:p w:rsidR="00EA1980" w:rsidRPr="00D445BF" w:rsidRDefault="00EA1980" w:rsidP="00E16765">
            <w:pPr>
              <w:rPr>
                <w:sz w:val="20"/>
                <w:szCs w:val="20"/>
              </w:rPr>
            </w:pPr>
          </w:p>
        </w:tc>
        <w:tc>
          <w:tcPr>
            <w:tcW w:w="6945" w:type="dxa"/>
          </w:tcPr>
          <w:p w:rsidR="00C82A97" w:rsidRPr="00D445BF" w:rsidRDefault="00C82A97" w:rsidP="00C82A97">
            <w:pPr>
              <w:rPr>
                <w:sz w:val="20"/>
                <w:szCs w:val="20"/>
              </w:rPr>
            </w:pPr>
            <w:r w:rsidRPr="00D445BF">
              <w:rPr>
                <w:sz w:val="20"/>
                <w:szCs w:val="20"/>
              </w:rPr>
              <w:t>The effective working relationship that Petroc and TDK Lambda have means that both organisations ultimately benefit from the collaboration. Workforces at both organisations a</w:t>
            </w:r>
            <w:r w:rsidR="007B752F" w:rsidRPr="00D445BF">
              <w:rPr>
                <w:sz w:val="20"/>
                <w:szCs w:val="20"/>
              </w:rPr>
              <w:t>re constantly up skilling enabling</w:t>
            </w:r>
            <w:r w:rsidRPr="00D445BF">
              <w:rPr>
                <w:sz w:val="20"/>
                <w:szCs w:val="20"/>
              </w:rPr>
              <w:t xml:space="preserve"> responsiveness to customer needs. This activity is essential and will c</w:t>
            </w:r>
            <w:r w:rsidR="00D308E9" w:rsidRPr="00D445BF">
              <w:rPr>
                <w:sz w:val="20"/>
                <w:szCs w:val="20"/>
              </w:rPr>
              <w:t>ontribute to the sustainability</w:t>
            </w:r>
            <w:r w:rsidRPr="00D445BF">
              <w:rPr>
                <w:sz w:val="20"/>
                <w:szCs w:val="20"/>
              </w:rPr>
              <w:t xml:space="preserve"> of the local economy.</w:t>
            </w:r>
          </w:p>
          <w:p w:rsidR="00EA1980" w:rsidRPr="00D445BF" w:rsidRDefault="00FC0E23" w:rsidP="00C82A97">
            <w:pPr>
              <w:rPr>
                <w:sz w:val="20"/>
                <w:szCs w:val="20"/>
              </w:rPr>
            </w:pPr>
            <w:r w:rsidRPr="00D445BF">
              <w:rPr>
                <w:sz w:val="20"/>
                <w:szCs w:val="20"/>
              </w:rPr>
              <w:t xml:space="preserve">Each year TDK Lambda </w:t>
            </w:r>
            <w:r w:rsidR="00E5161F" w:rsidRPr="00D445BF">
              <w:rPr>
                <w:sz w:val="20"/>
                <w:szCs w:val="20"/>
              </w:rPr>
              <w:t xml:space="preserve"> are taking on new apprentices, seeking out those with good </w:t>
            </w:r>
            <w:r w:rsidR="00C82A97" w:rsidRPr="00D445BF">
              <w:rPr>
                <w:sz w:val="20"/>
                <w:szCs w:val="20"/>
              </w:rPr>
              <w:t>aptitude</w:t>
            </w:r>
            <w:r w:rsidR="00E5161F" w:rsidRPr="00D445BF">
              <w:rPr>
                <w:sz w:val="20"/>
                <w:szCs w:val="20"/>
              </w:rPr>
              <w:t xml:space="preserve"> and potential for the future, </w:t>
            </w:r>
            <w:r w:rsidR="00C82A97" w:rsidRPr="00D445BF">
              <w:rPr>
                <w:sz w:val="20"/>
                <w:szCs w:val="20"/>
              </w:rPr>
              <w:t xml:space="preserve">committing to supporting  their continuing professional development and progression to higher levels of study </w:t>
            </w:r>
            <w:r w:rsidR="00E5161F" w:rsidRPr="00D445BF">
              <w:rPr>
                <w:sz w:val="20"/>
                <w:szCs w:val="20"/>
              </w:rPr>
              <w:t>.  This demonstrates a sustainable appro</w:t>
            </w:r>
            <w:r w:rsidR="00D308E9" w:rsidRPr="00D445BF">
              <w:rPr>
                <w:sz w:val="20"/>
                <w:szCs w:val="20"/>
              </w:rPr>
              <w:t>ach to refreshing and</w:t>
            </w:r>
            <w:r w:rsidR="00C82A97" w:rsidRPr="00D445BF">
              <w:rPr>
                <w:sz w:val="20"/>
                <w:szCs w:val="20"/>
              </w:rPr>
              <w:t xml:space="preserve"> up skilling of the workforce whilst positively addressing succession planning.</w:t>
            </w:r>
          </w:p>
          <w:p w:rsidR="00C82A97" w:rsidRPr="00D445BF" w:rsidRDefault="00C82A97" w:rsidP="00C82A97">
            <w:pPr>
              <w:rPr>
                <w:sz w:val="20"/>
                <w:szCs w:val="20"/>
              </w:rPr>
            </w:pPr>
            <w:r w:rsidRPr="00D445BF">
              <w:rPr>
                <w:sz w:val="20"/>
                <w:szCs w:val="20"/>
              </w:rPr>
              <w:t>The effective engagement last year meant that the two organisations worked with a great deal of synergy to ensure that the college had the equipment and resources necessary to deliver the required CPD for staff</w:t>
            </w:r>
            <w:r w:rsidR="00721AC0" w:rsidRPr="00D445BF">
              <w:rPr>
                <w:sz w:val="20"/>
                <w:szCs w:val="20"/>
              </w:rPr>
              <w:t>. Petroc fully appreciated the generosity of the company that will certainly facilitate quality improvement in teaching and learning whilst providing opportunities for sustainable continuing professional development.</w:t>
            </w:r>
          </w:p>
          <w:p w:rsidR="00721AC0" w:rsidRPr="00D445BF" w:rsidRDefault="00721AC0" w:rsidP="00C82A97">
            <w:pPr>
              <w:rPr>
                <w:sz w:val="20"/>
                <w:szCs w:val="20"/>
              </w:rPr>
            </w:pPr>
            <w:r w:rsidRPr="00D445BF">
              <w:rPr>
                <w:sz w:val="20"/>
                <w:szCs w:val="20"/>
              </w:rPr>
              <w:t>The two organisations hope to develop their partnership to continue to raise the aspiratio</w:t>
            </w:r>
            <w:r w:rsidR="004E0473">
              <w:rPr>
                <w:sz w:val="20"/>
                <w:szCs w:val="20"/>
              </w:rPr>
              <w:t xml:space="preserve">ns, knowledge and skills of </w:t>
            </w:r>
            <w:r w:rsidRPr="00D445BF">
              <w:rPr>
                <w:sz w:val="20"/>
                <w:szCs w:val="20"/>
              </w:rPr>
              <w:t>individuals, communities and businesses supporting the local community and contributing to economic sustainability.</w:t>
            </w:r>
          </w:p>
        </w:tc>
      </w:tr>
    </w:tbl>
    <w:p w:rsidR="00E440C5" w:rsidRPr="00D445BF" w:rsidRDefault="00E440C5" w:rsidP="00E16765">
      <w:pPr>
        <w:rPr>
          <w:sz w:val="20"/>
          <w:szCs w:val="20"/>
        </w:rPr>
        <w:sectPr w:rsidR="00E440C5" w:rsidRPr="00D445BF" w:rsidSect="00643F3C">
          <w:pgSz w:w="11906" w:h="16838"/>
          <w:pgMar w:top="1440" w:right="1440" w:bottom="851" w:left="1440" w:header="708" w:footer="708" w:gutter="0"/>
          <w:cols w:space="708"/>
          <w:docGrid w:linePitch="360"/>
        </w:sectPr>
      </w:pPr>
      <w:r w:rsidRPr="00D445BF">
        <w:rPr>
          <w:sz w:val="20"/>
          <w:szCs w:val="20"/>
        </w:rPr>
        <w:t>This activity was undertaken as a part of the National HE STEM Programme, via the South West Spoke. For more information on South West Spoke projects, please see www.hestem-sw.org.uk. For more information on the overall national programme, please see www.hestem.ac.uk</w:t>
      </w:r>
    </w:p>
    <w:p w:rsidR="00EF0E75" w:rsidRPr="00EF0E75" w:rsidRDefault="00EF0E75" w:rsidP="00EF0E75">
      <w:pPr>
        <w:spacing w:after="150" w:line="270" w:lineRule="atLeast"/>
        <w:jc w:val="center"/>
        <w:rPr>
          <w:rFonts w:ascii="Helvetica" w:eastAsia="Times New Roman" w:hAnsi="Helvetica" w:cs="Times New Roman"/>
          <w:color w:val="000000"/>
          <w:sz w:val="20"/>
          <w:szCs w:val="20"/>
          <w:lang w:val="en"/>
        </w:rPr>
      </w:pPr>
      <w:r w:rsidRPr="00EF0E75">
        <w:rPr>
          <w:rFonts w:ascii="Helvetica" w:eastAsia="Times New Roman" w:hAnsi="Helvetica" w:cs="Times New Roman"/>
          <w:noProof/>
          <w:color w:val="4374B7"/>
          <w:sz w:val="20"/>
          <w:szCs w:val="20"/>
        </w:rPr>
        <w:lastRenderedPageBreak/>
        <w:drawing>
          <wp:inline distT="0" distB="0" distL="0" distR="0" wp14:anchorId="63D77F3E" wp14:editId="5D3956CC">
            <wp:extent cx="838835" cy="296545"/>
            <wp:effectExtent l="0" t="0" r="0" b="8255"/>
            <wp:docPr id="2" name="Picture 2" descr="Creative Commons Lic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c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835" cy="296545"/>
                    </a:xfrm>
                    <a:prstGeom prst="rect">
                      <a:avLst/>
                    </a:prstGeom>
                    <a:noFill/>
                    <a:ln>
                      <a:noFill/>
                    </a:ln>
                  </pic:spPr>
                </pic:pic>
              </a:graphicData>
            </a:graphic>
          </wp:inline>
        </w:drawing>
      </w:r>
      <w:r w:rsidRPr="00EF0E75">
        <w:rPr>
          <w:rFonts w:ascii="Helvetica" w:eastAsia="Times New Roman" w:hAnsi="Helvetica" w:cs="Times New Roman"/>
          <w:color w:val="000000"/>
          <w:sz w:val="20"/>
          <w:szCs w:val="20"/>
          <w:lang w:val="en"/>
        </w:rPr>
        <w:br/>
      </w:r>
      <w:proofErr w:type="spellStart"/>
      <w:r w:rsidRPr="00EF0E75">
        <w:rPr>
          <w:rFonts w:ascii="Helvetica" w:eastAsia="Times New Roman" w:hAnsi="Helvetica" w:cs="Times New Roman"/>
          <w:color w:val="000000"/>
          <w:sz w:val="20"/>
          <w:szCs w:val="20"/>
          <w:lang w:val="en"/>
        </w:rPr>
        <w:t>Petroc</w:t>
      </w:r>
      <w:proofErr w:type="spellEnd"/>
      <w:r w:rsidRPr="00EF0E75">
        <w:rPr>
          <w:rFonts w:ascii="Helvetica" w:eastAsia="Times New Roman" w:hAnsi="Helvetica" w:cs="Times New Roman"/>
          <w:color w:val="000000"/>
          <w:sz w:val="20"/>
          <w:szCs w:val="20"/>
          <w:lang w:val="en"/>
        </w:rPr>
        <w:t xml:space="preserve"> - TDK </w:t>
      </w:r>
      <w:proofErr w:type="spellStart"/>
      <w:r w:rsidRPr="00EF0E75">
        <w:rPr>
          <w:rFonts w:ascii="Helvetica" w:eastAsia="Times New Roman" w:hAnsi="Helvetica" w:cs="Times New Roman"/>
          <w:color w:val="000000"/>
          <w:sz w:val="20"/>
          <w:szCs w:val="20"/>
          <w:lang w:val="en"/>
        </w:rPr>
        <w:t>Lamda</w:t>
      </w:r>
      <w:proofErr w:type="spellEnd"/>
      <w:r w:rsidRPr="00EF0E75">
        <w:rPr>
          <w:rFonts w:ascii="Helvetica" w:eastAsia="Times New Roman" w:hAnsi="Helvetica" w:cs="Times New Roman"/>
          <w:color w:val="000000"/>
          <w:sz w:val="20"/>
          <w:szCs w:val="20"/>
          <w:lang w:val="en"/>
        </w:rPr>
        <w:t xml:space="preserve"> Case Study by </w:t>
      </w:r>
      <w:proofErr w:type="spellStart"/>
      <w:r w:rsidRPr="00EF0E75">
        <w:rPr>
          <w:rFonts w:ascii="Helvetica" w:eastAsia="Times New Roman" w:hAnsi="Helvetica" w:cs="Times New Roman"/>
          <w:color w:val="000000"/>
          <w:sz w:val="20"/>
          <w:szCs w:val="20"/>
          <w:lang w:val="en"/>
        </w:rPr>
        <w:t>Petroc</w:t>
      </w:r>
      <w:proofErr w:type="spellEnd"/>
      <w:r w:rsidRPr="00EF0E75">
        <w:rPr>
          <w:rFonts w:ascii="Helvetica" w:eastAsia="Times New Roman" w:hAnsi="Helvetica" w:cs="Times New Roman"/>
          <w:color w:val="000000"/>
          <w:sz w:val="20"/>
          <w:szCs w:val="20"/>
          <w:lang w:val="en"/>
        </w:rPr>
        <w:t xml:space="preserve"> is licensed under a </w:t>
      </w:r>
      <w:hyperlink r:id="rId13" w:history="1">
        <w:r w:rsidRPr="00EF0E75">
          <w:rPr>
            <w:rFonts w:ascii="Helvetica" w:eastAsia="Times New Roman" w:hAnsi="Helvetica" w:cs="Times New Roman"/>
            <w:color w:val="4374B7"/>
            <w:sz w:val="20"/>
            <w:szCs w:val="20"/>
            <w:u w:val="single"/>
            <w:lang w:val="en"/>
          </w:rPr>
          <w:t>Creative Commons Attribution-NonCommercial-NoDerivs 2.0 UK: England &amp; Wales License</w:t>
        </w:r>
      </w:hyperlink>
      <w:r w:rsidRPr="00EF0E75">
        <w:rPr>
          <w:rFonts w:ascii="Helvetica" w:eastAsia="Times New Roman" w:hAnsi="Helvetica" w:cs="Times New Roman"/>
          <w:color w:val="000000"/>
          <w:sz w:val="20"/>
          <w:szCs w:val="20"/>
          <w:lang w:val="en"/>
        </w:rPr>
        <w:t>.</w:t>
      </w:r>
      <w:r w:rsidRPr="00EF0E75">
        <w:rPr>
          <w:rFonts w:ascii="Helvetica" w:eastAsia="Times New Roman" w:hAnsi="Helvetica" w:cs="Times New Roman"/>
          <w:color w:val="000000"/>
          <w:sz w:val="20"/>
          <w:szCs w:val="20"/>
          <w:lang w:val="en"/>
        </w:rPr>
        <w:br/>
      </w:r>
      <w:proofErr w:type="gramStart"/>
      <w:r w:rsidRPr="00EF0E75">
        <w:rPr>
          <w:rFonts w:ascii="Helvetica" w:eastAsia="Times New Roman" w:hAnsi="Helvetica" w:cs="Times New Roman"/>
          <w:color w:val="000000"/>
          <w:sz w:val="20"/>
          <w:szCs w:val="20"/>
          <w:lang w:val="en"/>
        </w:rPr>
        <w:t xml:space="preserve">Based on a work at </w:t>
      </w:r>
      <w:hyperlink r:id="rId14" w:history="1">
        <w:proofErr w:type="gramEnd"/>
        <w:r w:rsidRPr="00EF0E75">
          <w:rPr>
            <w:rFonts w:ascii="Helvetica" w:eastAsia="Times New Roman" w:hAnsi="Helvetica" w:cs="Times New Roman"/>
            <w:color w:val="4374B7"/>
            <w:sz w:val="20"/>
            <w:szCs w:val="20"/>
            <w:u w:val="single"/>
            <w:lang w:val="en"/>
          </w:rPr>
          <w:t>www.hestem-sw.org.uk</w:t>
        </w:r>
        <w:proofErr w:type="gramStart"/>
      </w:hyperlink>
      <w:r w:rsidRPr="00EF0E75">
        <w:rPr>
          <w:rFonts w:ascii="Helvetica" w:eastAsia="Times New Roman" w:hAnsi="Helvetica" w:cs="Times New Roman"/>
          <w:color w:val="000000"/>
          <w:sz w:val="20"/>
          <w:szCs w:val="20"/>
          <w:lang w:val="en"/>
        </w:rPr>
        <w:t>.</w:t>
      </w:r>
      <w:proofErr w:type="gramEnd"/>
    </w:p>
    <w:p w:rsidR="00364E1F" w:rsidRPr="00D445BF" w:rsidRDefault="00364E1F">
      <w:pPr>
        <w:rPr>
          <w:sz w:val="20"/>
          <w:szCs w:val="20"/>
        </w:rPr>
      </w:pPr>
    </w:p>
    <w:sectPr w:rsidR="00364E1F" w:rsidRPr="00D445BF" w:rsidSect="00643F3C">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D6" w:rsidRDefault="001C5DD6" w:rsidP="00E16765">
      <w:pPr>
        <w:spacing w:after="0" w:line="240" w:lineRule="auto"/>
      </w:pPr>
      <w:r>
        <w:separator/>
      </w:r>
    </w:p>
  </w:endnote>
  <w:endnote w:type="continuationSeparator" w:id="0">
    <w:p w:rsidR="001C5DD6" w:rsidRDefault="001C5DD6" w:rsidP="00E1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D6" w:rsidRDefault="001C5DD6" w:rsidP="00E16765">
      <w:pPr>
        <w:spacing w:after="0" w:line="240" w:lineRule="auto"/>
      </w:pPr>
      <w:r>
        <w:separator/>
      </w:r>
    </w:p>
  </w:footnote>
  <w:footnote w:type="continuationSeparator" w:id="0">
    <w:p w:rsidR="001C5DD6" w:rsidRDefault="001C5DD6" w:rsidP="00E16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1ED"/>
    <w:multiLevelType w:val="hybridMultilevel"/>
    <w:tmpl w:val="27B4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885EE7"/>
    <w:multiLevelType w:val="hybridMultilevel"/>
    <w:tmpl w:val="1A80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C12206"/>
    <w:multiLevelType w:val="hybridMultilevel"/>
    <w:tmpl w:val="B95A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E76272"/>
    <w:multiLevelType w:val="hybridMultilevel"/>
    <w:tmpl w:val="E27E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3C2A93"/>
    <w:multiLevelType w:val="hybridMultilevel"/>
    <w:tmpl w:val="0B44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B60B8C"/>
    <w:multiLevelType w:val="hybridMultilevel"/>
    <w:tmpl w:val="3A6C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00000A"/>
    <w:multiLevelType w:val="hybridMultilevel"/>
    <w:tmpl w:val="56E06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5E"/>
    <w:rsid w:val="00067298"/>
    <w:rsid w:val="000B0FD3"/>
    <w:rsid w:val="000D2CB9"/>
    <w:rsid w:val="001543CB"/>
    <w:rsid w:val="00172018"/>
    <w:rsid w:val="00180D40"/>
    <w:rsid w:val="001860B5"/>
    <w:rsid w:val="00195FB8"/>
    <w:rsid w:val="001A0F8E"/>
    <w:rsid w:val="001C5DD6"/>
    <w:rsid w:val="002048F5"/>
    <w:rsid w:val="0022525E"/>
    <w:rsid w:val="0024752A"/>
    <w:rsid w:val="00293374"/>
    <w:rsid w:val="002A4CD5"/>
    <w:rsid w:val="00311138"/>
    <w:rsid w:val="00337896"/>
    <w:rsid w:val="00352F66"/>
    <w:rsid w:val="00364E1F"/>
    <w:rsid w:val="00374436"/>
    <w:rsid w:val="003900FD"/>
    <w:rsid w:val="003D757E"/>
    <w:rsid w:val="003F7F5A"/>
    <w:rsid w:val="00406D84"/>
    <w:rsid w:val="00443AE2"/>
    <w:rsid w:val="00471D59"/>
    <w:rsid w:val="00472238"/>
    <w:rsid w:val="00483120"/>
    <w:rsid w:val="004A0BEE"/>
    <w:rsid w:val="004B772A"/>
    <w:rsid w:val="004E0473"/>
    <w:rsid w:val="004F2AA3"/>
    <w:rsid w:val="00504DF2"/>
    <w:rsid w:val="005170BB"/>
    <w:rsid w:val="005212C8"/>
    <w:rsid w:val="00527909"/>
    <w:rsid w:val="005436D5"/>
    <w:rsid w:val="00555DF1"/>
    <w:rsid w:val="00565E7A"/>
    <w:rsid w:val="005A281D"/>
    <w:rsid w:val="005C76D9"/>
    <w:rsid w:val="005E0CB0"/>
    <w:rsid w:val="00631B8F"/>
    <w:rsid w:val="00632A0D"/>
    <w:rsid w:val="00643F3C"/>
    <w:rsid w:val="00680E4A"/>
    <w:rsid w:val="00695AAD"/>
    <w:rsid w:val="006C002B"/>
    <w:rsid w:val="006E1EED"/>
    <w:rsid w:val="00721AC0"/>
    <w:rsid w:val="00743DE3"/>
    <w:rsid w:val="00773C9A"/>
    <w:rsid w:val="007A1340"/>
    <w:rsid w:val="007A4248"/>
    <w:rsid w:val="007B752F"/>
    <w:rsid w:val="007F12D9"/>
    <w:rsid w:val="00882A3E"/>
    <w:rsid w:val="009156E0"/>
    <w:rsid w:val="009345A4"/>
    <w:rsid w:val="00941490"/>
    <w:rsid w:val="00955D5B"/>
    <w:rsid w:val="00972B5C"/>
    <w:rsid w:val="0097306E"/>
    <w:rsid w:val="009956EB"/>
    <w:rsid w:val="009A5CEA"/>
    <w:rsid w:val="009C0F96"/>
    <w:rsid w:val="009D293A"/>
    <w:rsid w:val="00A33C45"/>
    <w:rsid w:val="00A74340"/>
    <w:rsid w:val="00A841F1"/>
    <w:rsid w:val="00AB5B3C"/>
    <w:rsid w:val="00AF6F84"/>
    <w:rsid w:val="00B307E6"/>
    <w:rsid w:val="00B61D3C"/>
    <w:rsid w:val="00BD6BD3"/>
    <w:rsid w:val="00C0512A"/>
    <w:rsid w:val="00C51B26"/>
    <w:rsid w:val="00C74573"/>
    <w:rsid w:val="00C82A97"/>
    <w:rsid w:val="00C92FED"/>
    <w:rsid w:val="00C95C7F"/>
    <w:rsid w:val="00CC2422"/>
    <w:rsid w:val="00D2181D"/>
    <w:rsid w:val="00D308E9"/>
    <w:rsid w:val="00D31D92"/>
    <w:rsid w:val="00D445BF"/>
    <w:rsid w:val="00D56ACA"/>
    <w:rsid w:val="00D653FB"/>
    <w:rsid w:val="00D67875"/>
    <w:rsid w:val="00D863B7"/>
    <w:rsid w:val="00DD0850"/>
    <w:rsid w:val="00DE6CAF"/>
    <w:rsid w:val="00DF2054"/>
    <w:rsid w:val="00E16765"/>
    <w:rsid w:val="00E42D33"/>
    <w:rsid w:val="00E440C5"/>
    <w:rsid w:val="00E5161F"/>
    <w:rsid w:val="00E5314F"/>
    <w:rsid w:val="00E56A93"/>
    <w:rsid w:val="00EA1980"/>
    <w:rsid w:val="00EC682F"/>
    <w:rsid w:val="00EF0E75"/>
    <w:rsid w:val="00F21D20"/>
    <w:rsid w:val="00F325CF"/>
    <w:rsid w:val="00F5743E"/>
    <w:rsid w:val="00F81D04"/>
    <w:rsid w:val="00FC0E23"/>
    <w:rsid w:val="00FE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18"/>
    <w:pPr>
      <w:ind w:left="720"/>
      <w:contextualSpacing/>
    </w:pPr>
  </w:style>
  <w:style w:type="character" w:styleId="Hyperlink">
    <w:name w:val="Hyperlink"/>
    <w:basedOn w:val="DefaultParagraphFont"/>
    <w:uiPriority w:val="99"/>
    <w:unhideWhenUsed/>
    <w:rsid w:val="009345A4"/>
    <w:rPr>
      <w:color w:val="0000FF" w:themeColor="hyperlink"/>
      <w:u w:val="single"/>
    </w:rPr>
  </w:style>
  <w:style w:type="paragraph" w:styleId="Header">
    <w:name w:val="header"/>
    <w:basedOn w:val="Normal"/>
    <w:link w:val="HeaderChar"/>
    <w:uiPriority w:val="99"/>
    <w:unhideWhenUsed/>
    <w:rsid w:val="00E16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765"/>
  </w:style>
  <w:style w:type="paragraph" w:styleId="Footer">
    <w:name w:val="footer"/>
    <w:basedOn w:val="Normal"/>
    <w:link w:val="FooterChar"/>
    <w:uiPriority w:val="99"/>
    <w:unhideWhenUsed/>
    <w:rsid w:val="00E16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765"/>
  </w:style>
  <w:style w:type="paragraph" w:styleId="BalloonText">
    <w:name w:val="Balloon Text"/>
    <w:basedOn w:val="Normal"/>
    <w:link w:val="BalloonTextChar"/>
    <w:uiPriority w:val="99"/>
    <w:semiHidden/>
    <w:unhideWhenUsed/>
    <w:rsid w:val="00EA1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80"/>
    <w:rPr>
      <w:rFonts w:ascii="Tahoma" w:hAnsi="Tahoma" w:cs="Tahoma"/>
      <w:sz w:val="16"/>
      <w:szCs w:val="16"/>
    </w:rPr>
  </w:style>
  <w:style w:type="paragraph" w:styleId="NormalWeb">
    <w:name w:val="Normal (Web)"/>
    <w:basedOn w:val="Normal"/>
    <w:uiPriority w:val="99"/>
    <w:semiHidden/>
    <w:unhideWhenUsed/>
    <w:rsid w:val="00632A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18"/>
    <w:pPr>
      <w:ind w:left="720"/>
      <w:contextualSpacing/>
    </w:pPr>
  </w:style>
  <w:style w:type="character" w:styleId="Hyperlink">
    <w:name w:val="Hyperlink"/>
    <w:basedOn w:val="DefaultParagraphFont"/>
    <w:uiPriority w:val="99"/>
    <w:unhideWhenUsed/>
    <w:rsid w:val="009345A4"/>
    <w:rPr>
      <w:color w:val="0000FF" w:themeColor="hyperlink"/>
      <w:u w:val="single"/>
    </w:rPr>
  </w:style>
  <w:style w:type="paragraph" w:styleId="Header">
    <w:name w:val="header"/>
    <w:basedOn w:val="Normal"/>
    <w:link w:val="HeaderChar"/>
    <w:uiPriority w:val="99"/>
    <w:unhideWhenUsed/>
    <w:rsid w:val="00E16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765"/>
  </w:style>
  <w:style w:type="paragraph" w:styleId="Footer">
    <w:name w:val="footer"/>
    <w:basedOn w:val="Normal"/>
    <w:link w:val="FooterChar"/>
    <w:uiPriority w:val="99"/>
    <w:unhideWhenUsed/>
    <w:rsid w:val="00E16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765"/>
  </w:style>
  <w:style w:type="paragraph" w:styleId="BalloonText">
    <w:name w:val="Balloon Text"/>
    <w:basedOn w:val="Normal"/>
    <w:link w:val="BalloonTextChar"/>
    <w:uiPriority w:val="99"/>
    <w:semiHidden/>
    <w:unhideWhenUsed/>
    <w:rsid w:val="00EA1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80"/>
    <w:rPr>
      <w:rFonts w:ascii="Tahoma" w:hAnsi="Tahoma" w:cs="Tahoma"/>
      <w:sz w:val="16"/>
      <w:szCs w:val="16"/>
    </w:rPr>
  </w:style>
  <w:style w:type="paragraph" w:styleId="NormalWeb">
    <w:name w:val="Normal (Web)"/>
    <w:basedOn w:val="Normal"/>
    <w:uiPriority w:val="99"/>
    <w:semiHidden/>
    <w:unhideWhenUsed/>
    <w:rsid w:val="00632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4945">
      <w:bodyDiv w:val="1"/>
      <w:marLeft w:val="0"/>
      <w:marRight w:val="0"/>
      <w:marTop w:val="0"/>
      <w:marBottom w:val="0"/>
      <w:divBdr>
        <w:top w:val="none" w:sz="0" w:space="0" w:color="auto"/>
        <w:left w:val="none" w:sz="0" w:space="0" w:color="auto"/>
        <w:bottom w:val="none" w:sz="0" w:space="0" w:color="auto"/>
        <w:right w:val="none" w:sz="0" w:space="0" w:color="auto"/>
      </w:divBdr>
      <w:divsChild>
        <w:div w:id="858933373">
          <w:marLeft w:val="0"/>
          <w:marRight w:val="0"/>
          <w:marTop w:val="0"/>
          <w:marBottom w:val="0"/>
          <w:divBdr>
            <w:top w:val="none" w:sz="0" w:space="0" w:color="auto"/>
            <w:left w:val="none" w:sz="0" w:space="0" w:color="auto"/>
            <w:bottom w:val="none" w:sz="0" w:space="0" w:color="auto"/>
            <w:right w:val="none" w:sz="0" w:space="0" w:color="auto"/>
          </w:divBdr>
        </w:div>
      </w:divsChild>
    </w:div>
    <w:div w:id="385420202">
      <w:bodyDiv w:val="1"/>
      <w:marLeft w:val="0"/>
      <w:marRight w:val="0"/>
      <w:marTop w:val="0"/>
      <w:marBottom w:val="0"/>
      <w:divBdr>
        <w:top w:val="none" w:sz="0" w:space="0" w:color="auto"/>
        <w:left w:val="none" w:sz="0" w:space="0" w:color="auto"/>
        <w:bottom w:val="none" w:sz="0" w:space="0" w:color="auto"/>
        <w:right w:val="none" w:sz="0" w:space="0" w:color="auto"/>
      </w:divBdr>
      <w:divsChild>
        <w:div w:id="1250844292">
          <w:marLeft w:val="0"/>
          <w:marRight w:val="0"/>
          <w:marTop w:val="0"/>
          <w:marBottom w:val="0"/>
          <w:divBdr>
            <w:top w:val="none" w:sz="0" w:space="0" w:color="auto"/>
            <w:left w:val="none" w:sz="0" w:space="0" w:color="auto"/>
            <w:bottom w:val="none" w:sz="0" w:space="0" w:color="auto"/>
            <w:right w:val="none" w:sz="0" w:space="0" w:color="auto"/>
          </w:divBdr>
          <w:divsChild>
            <w:div w:id="1574317571">
              <w:marLeft w:val="0"/>
              <w:marRight w:val="0"/>
              <w:marTop w:val="0"/>
              <w:marBottom w:val="0"/>
              <w:divBdr>
                <w:top w:val="none" w:sz="0" w:space="0" w:color="auto"/>
                <w:left w:val="none" w:sz="0" w:space="0" w:color="auto"/>
                <w:bottom w:val="none" w:sz="0" w:space="0" w:color="auto"/>
                <w:right w:val="none" w:sz="0" w:space="0" w:color="auto"/>
              </w:divBdr>
              <w:divsChild>
                <w:div w:id="1386828811">
                  <w:marLeft w:val="0"/>
                  <w:marRight w:val="0"/>
                  <w:marTop w:val="0"/>
                  <w:marBottom w:val="0"/>
                  <w:divBdr>
                    <w:top w:val="none" w:sz="0" w:space="0" w:color="auto"/>
                    <w:left w:val="none" w:sz="0" w:space="0" w:color="auto"/>
                    <w:bottom w:val="none" w:sz="0" w:space="0" w:color="auto"/>
                    <w:right w:val="none" w:sz="0" w:space="0" w:color="auto"/>
                  </w:divBdr>
                  <w:divsChild>
                    <w:div w:id="1178735359">
                      <w:marLeft w:val="0"/>
                      <w:marRight w:val="0"/>
                      <w:marTop w:val="0"/>
                      <w:marBottom w:val="0"/>
                      <w:divBdr>
                        <w:top w:val="none" w:sz="0" w:space="0" w:color="auto"/>
                        <w:left w:val="none" w:sz="0" w:space="0" w:color="auto"/>
                        <w:bottom w:val="none" w:sz="0" w:space="0" w:color="auto"/>
                        <w:right w:val="none" w:sz="0" w:space="0" w:color="auto"/>
                      </w:divBdr>
                      <w:divsChild>
                        <w:div w:id="552349601">
                          <w:marLeft w:val="0"/>
                          <w:marRight w:val="0"/>
                          <w:marTop w:val="0"/>
                          <w:marBottom w:val="0"/>
                          <w:divBdr>
                            <w:top w:val="none" w:sz="0" w:space="0" w:color="auto"/>
                            <w:left w:val="none" w:sz="0" w:space="0" w:color="auto"/>
                            <w:bottom w:val="none" w:sz="0" w:space="0" w:color="auto"/>
                            <w:right w:val="none" w:sz="0" w:space="0" w:color="auto"/>
                          </w:divBdr>
                          <w:divsChild>
                            <w:div w:id="1975603500">
                              <w:marLeft w:val="0"/>
                              <w:marRight w:val="0"/>
                              <w:marTop w:val="150"/>
                              <w:marBottom w:val="150"/>
                              <w:divBdr>
                                <w:top w:val="single" w:sz="6" w:space="8" w:color="555555"/>
                                <w:left w:val="single" w:sz="6" w:space="8" w:color="555555"/>
                                <w:bottom w:val="single" w:sz="6" w:space="8" w:color="555555"/>
                                <w:right w:val="single" w:sz="6" w:space="8" w:color="555555"/>
                              </w:divBdr>
                            </w:div>
                          </w:divsChild>
                        </w:div>
                      </w:divsChild>
                    </w:div>
                  </w:divsChild>
                </w:div>
              </w:divsChild>
            </w:div>
          </w:divsChild>
        </w:div>
      </w:divsChild>
    </w:div>
    <w:div w:id="1104568876">
      <w:bodyDiv w:val="1"/>
      <w:marLeft w:val="0"/>
      <w:marRight w:val="0"/>
      <w:marTop w:val="0"/>
      <w:marBottom w:val="0"/>
      <w:divBdr>
        <w:top w:val="none" w:sz="0" w:space="0" w:color="auto"/>
        <w:left w:val="none" w:sz="0" w:space="0" w:color="auto"/>
        <w:bottom w:val="none" w:sz="0" w:space="0" w:color="auto"/>
        <w:right w:val="none" w:sz="0" w:space="0" w:color="auto"/>
      </w:divBdr>
      <w:divsChild>
        <w:div w:id="299111480">
          <w:marLeft w:val="0"/>
          <w:marRight w:val="0"/>
          <w:marTop w:val="0"/>
          <w:marBottom w:val="0"/>
          <w:divBdr>
            <w:top w:val="none" w:sz="0" w:space="0" w:color="auto"/>
            <w:left w:val="none" w:sz="0" w:space="0" w:color="auto"/>
            <w:bottom w:val="none" w:sz="0" w:space="0" w:color="auto"/>
            <w:right w:val="none" w:sz="0" w:space="0" w:color="auto"/>
          </w:divBdr>
        </w:div>
      </w:divsChild>
    </w:div>
    <w:div w:id="113424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nc-nd/2.0/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nc-nd/2.0/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estem-sw.org.uk/project?id=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6F0B7B1.dotm</Template>
  <TotalTime>18</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Cerian</dc:creator>
  <cp:lastModifiedBy>Ruth Waring</cp:lastModifiedBy>
  <cp:revision>7</cp:revision>
  <dcterms:created xsi:type="dcterms:W3CDTF">2012-06-12T16:33:00Z</dcterms:created>
  <dcterms:modified xsi:type="dcterms:W3CDTF">2012-07-12T12:59:00Z</dcterms:modified>
</cp:coreProperties>
</file>