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4C1" w:rsidRPr="00117310" w:rsidRDefault="00AF1EA8">
      <w:pPr>
        <w:rPr>
          <w:b/>
          <w:sz w:val="28"/>
        </w:rPr>
      </w:pPr>
      <w:r w:rsidRPr="00117310">
        <w:rPr>
          <w:b/>
          <w:sz w:val="28"/>
        </w:rPr>
        <w:t>HE STEM Employability Skills Project – Train the Trainers Training Outline</w:t>
      </w:r>
    </w:p>
    <w:tbl>
      <w:tblPr>
        <w:tblStyle w:val="TableGrid"/>
        <w:tblW w:w="0" w:type="auto"/>
        <w:tblLook w:val="04A0"/>
      </w:tblPr>
      <w:tblGrid>
        <w:gridCol w:w="1101"/>
        <w:gridCol w:w="8141"/>
      </w:tblGrid>
      <w:tr w:rsidR="00AF1EA8" w:rsidTr="00AF1EA8">
        <w:tc>
          <w:tcPr>
            <w:tcW w:w="1101" w:type="dxa"/>
          </w:tcPr>
          <w:p w:rsidR="00AF1EA8" w:rsidRDefault="00AF1EA8">
            <w:r>
              <w:t>11-12</w:t>
            </w:r>
          </w:p>
        </w:tc>
        <w:tc>
          <w:tcPr>
            <w:tcW w:w="8141" w:type="dxa"/>
          </w:tcPr>
          <w:p w:rsidR="00AF1EA8" w:rsidRDefault="00AF1EA8">
            <w:r>
              <w:t>Generic Training Skills</w:t>
            </w:r>
          </w:p>
          <w:p w:rsidR="00AF1EA8" w:rsidRDefault="00AA7038" w:rsidP="000534AD">
            <w:pPr>
              <w:pStyle w:val="ListParagraph"/>
              <w:numPr>
                <w:ilvl w:val="0"/>
                <w:numId w:val="1"/>
              </w:numPr>
            </w:pPr>
            <w:r>
              <w:t xml:space="preserve">Ice Breakers – run 2 </w:t>
            </w:r>
            <w:r w:rsidR="00AF1EA8">
              <w:t>different ice breakers</w:t>
            </w:r>
            <w:r w:rsidR="00F47F63">
              <w:t>*</w:t>
            </w:r>
            <w:r w:rsidR="00AF1EA8">
              <w:t xml:space="preserve"> to get them talking to each other and show how useful they are</w:t>
            </w:r>
          </w:p>
          <w:p w:rsidR="00AF1EA8" w:rsidRDefault="00AF1EA8" w:rsidP="000534AD">
            <w:pPr>
              <w:pStyle w:val="ListParagraph"/>
              <w:numPr>
                <w:ilvl w:val="0"/>
                <w:numId w:val="1"/>
              </w:numPr>
            </w:pPr>
            <w:r>
              <w:t>Objectives – talk through the objectives of the session and how important aims and objectives are in planning and delivering training</w:t>
            </w:r>
            <w:r w:rsidR="00AA7038">
              <w:t>. What are your learning outcomes? What are their expectations of the training?</w:t>
            </w:r>
          </w:p>
          <w:p w:rsidR="00AF1EA8" w:rsidRDefault="000534AD" w:rsidP="000534AD">
            <w:pPr>
              <w:pStyle w:val="ListParagraph"/>
              <w:numPr>
                <w:ilvl w:val="0"/>
                <w:numId w:val="1"/>
              </w:numPr>
            </w:pPr>
            <w:r>
              <w:t>What makes a good training session? Brainstorm ideas with students</w:t>
            </w:r>
          </w:p>
          <w:p w:rsidR="000534AD" w:rsidRDefault="000534AD" w:rsidP="000534AD">
            <w:pPr>
              <w:pStyle w:val="ListParagraph"/>
              <w:numPr>
                <w:ilvl w:val="0"/>
                <w:numId w:val="1"/>
              </w:numPr>
            </w:pPr>
            <w:r>
              <w:t>Communication / Facilitation Skills – Go over any they didn’t mention, emphasise the idea of questioning, getting attendees to think through ideas/answers, listening to their needs</w:t>
            </w:r>
            <w:r w:rsidR="00051CA0">
              <w:t>, using anecdotes</w:t>
            </w:r>
            <w:r w:rsidR="00AA7038">
              <w:t>, enabling interaction between participants</w:t>
            </w:r>
            <w:r>
              <w:t xml:space="preserve"> etc</w:t>
            </w:r>
          </w:p>
          <w:p w:rsidR="00AA7038" w:rsidRDefault="00AA7038" w:rsidP="000534AD">
            <w:pPr>
              <w:pStyle w:val="ListParagraph"/>
              <w:numPr>
                <w:ilvl w:val="0"/>
                <w:numId w:val="1"/>
              </w:numPr>
            </w:pPr>
            <w:r>
              <w:t>Importance of evaluation and feedback</w:t>
            </w:r>
          </w:p>
          <w:p w:rsidR="000534AD" w:rsidRDefault="000534AD" w:rsidP="000534AD">
            <w:pPr>
              <w:pStyle w:val="ListParagraph"/>
              <w:numPr>
                <w:ilvl w:val="0"/>
                <w:numId w:val="1"/>
              </w:numPr>
            </w:pPr>
            <w:r>
              <w:t xml:space="preserve">Practicalities of running training – room layout, resources, </w:t>
            </w:r>
            <w:r w:rsidR="00051CA0">
              <w:t xml:space="preserve">AV, </w:t>
            </w:r>
            <w:r>
              <w:t>breaks, number of attendees</w:t>
            </w:r>
            <w:r w:rsidR="00051CA0">
              <w:t>, room temp</w:t>
            </w:r>
            <w:r w:rsidR="00AA7038">
              <w:t>, housekeeping</w:t>
            </w:r>
            <w:r>
              <w:t xml:space="preserve"> etc</w:t>
            </w:r>
            <w:r w:rsidR="00AA7038">
              <w:t xml:space="preserve"> </w:t>
            </w:r>
          </w:p>
        </w:tc>
      </w:tr>
      <w:tr w:rsidR="00AF1EA8" w:rsidTr="00AF1EA8">
        <w:tc>
          <w:tcPr>
            <w:tcW w:w="1101" w:type="dxa"/>
          </w:tcPr>
          <w:p w:rsidR="00AF1EA8" w:rsidRDefault="000534AD">
            <w:r>
              <w:t>12-1pm</w:t>
            </w:r>
          </w:p>
        </w:tc>
        <w:tc>
          <w:tcPr>
            <w:tcW w:w="8141" w:type="dxa"/>
          </w:tcPr>
          <w:p w:rsidR="00AF1EA8" w:rsidRDefault="000534AD">
            <w:r>
              <w:t>Refresher of Employability Skills Training Session – probably slide at a time, not running the session but explaining purpose of each slide and what happens in the actual training. Highlight which bits the students are going to do and run through the two activities (skills matching and interview questions) to remind them how they work.</w:t>
            </w:r>
          </w:p>
          <w:p w:rsidR="000534AD" w:rsidRDefault="000534AD">
            <w:r>
              <w:t xml:space="preserve">Explain they will have to put together a case study of how they have acquired employability skills through being a student volunteer (using </w:t>
            </w:r>
            <w:proofErr w:type="spellStart"/>
            <w:r>
              <w:t>proforma</w:t>
            </w:r>
            <w:proofErr w:type="spellEnd"/>
            <w:r>
              <w:t xml:space="preserve"> we have put together)</w:t>
            </w:r>
          </w:p>
          <w:p w:rsidR="003F5BA4" w:rsidRDefault="003F5BA4">
            <w:r>
              <w:t>End with a brainstorm on what they need to remember to deliver their parts</w:t>
            </w:r>
          </w:p>
          <w:p w:rsidR="000534AD" w:rsidRDefault="000534AD" w:rsidP="000534AD"/>
        </w:tc>
      </w:tr>
      <w:tr w:rsidR="00AF1EA8" w:rsidTr="00AF1EA8">
        <w:tc>
          <w:tcPr>
            <w:tcW w:w="1101" w:type="dxa"/>
          </w:tcPr>
          <w:p w:rsidR="00AF1EA8" w:rsidRDefault="003F5BA4">
            <w:r>
              <w:t>1-1.30</w:t>
            </w:r>
          </w:p>
        </w:tc>
        <w:tc>
          <w:tcPr>
            <w:tcW w:w="8141" w:type="dxa"/>
          </w:tcPr>
          <w:p w:rsidR="00AF1EA8" w:rsidRDefault="003F5BA4">
            <w:r>
              <w:t>Lunch</w:t>
            </w:r>
          </w:p>
        </w:tc>
      </w:tr>
      <w:tr w:rsidR="003F5BA4" w:rsidTr="00AF1EA8">
        <w:tc>
          <w:tcPr>
            <w:tcW w:w="1101" w:type="dxa"/>
          </w:tcPr>
          <w:p w:rsidR="003F5BA4" w:rsidRDefault="00FB473B">
            <w:r>
              <w:t>1.30-2.15</w:t>
            </w:r>
          </w:p>
        </w:tc>
        <w:tc>
          <w:tcPr>
            <w:tcW w:w="8141" w:type="dxa"/>
          </w:tcPr>
          <w:p w:rsidR="003F5BA4" w:rsidRDefault="003F5BA4">
            <w:r>
              <w:t xml:space="preserve">Split them into two mixed groups </w:t>
            </w:r>
            <w:r w:rsidR="00FB473B">
              <w:t>and ask them to plan and then deliver to each other (and us) one of the two activities. This will give them experience of actually delivering activities</w:t>
            </w:r>
            <w:r w:rsidR="00D42738">
              <w:t>. Feedback.</w:t>
            </w:r>
            <w:bookmarkStart w:id="0" w:name="_GoBack"/>
            <w:bookmarkEnd w:id="0"/>
          </w:p>
        </w:tc>
      </w:tr>
      <w:tr w:rsidR="00FB473B" w:rsidTr="00AF1EA8">
        <w:tc>
          <w:tcPr>
            <w:tcW w:w="1101" w:type="dxa"/>
          </w:tcPr>
          <w:p w:rsidR="00FB473B" w:rsidRDefault="00FB473B">
            <w:r>
              <w:t>2.15-2.45</w:t>
            </w:r>
          </w:p>
        </w:tc>
        <w:tc>
          <w:tcPr>
            <w:tcW w:w="8141" w:type="dxa"/>
          </w:tcPr>
          <w:p w:rsidR="00FB473B" w:rsidRDefault="00FB473B">
            <w:r>
              <w:t>Go back in their University groups</w:t>
            </w:r>
            <w:r w:rsidR="00F125DC">
              <w:t xml:space="preserve"> (with us)</w:t>
            </w:r>
            <w:r>
              <w:t xml:space="preserve"> and plan the case study element and how </w:t>
            </w:r>
            <w:r w:rsidR="00F47F63">
              <w:t>the training will be delivered in Dec</w:t>
            </w:r>
          </w:p>
        </w:tc>
      </w:tr>
      <w:tr w:rsidR="00F47F63" w:rsidTr="00AF1EA8">
        <w:tc>
          <w:tcPr>
            <w:tcW w:w="1101" w:type="dxa"/>
          </w:tcPr>
          <w:p w:rsidR="00F47F63" w:rsidRDefault="00F47F63">
            <w:r>
              <w:t>2.45-3pm</w:t>
            </w:r>
          </w:p>
        </w:tc>
        <w:tc>
          <w:tcPr>
            <w:tcW w:w="8141" w:type="dxa"/>
          </w:tcPr>
          <w:p w:rsidR="00F47F63" w:rsidRDefault="00F47F63">
            <w:r>
              <w:t xml:space="preserve">Evaluation </w:t>
            </w:r>
          </w:p>
        </w:tc>
      </w:tr>
    </w:tbl>
    <w:p w:rsidR="00AF1EA8" w:rsidRDefault="00AF1EA8"/>
    <w:p w:rsidR="00F47F63" w:rsidRDefault="00F47F63">
      <w:r>
        <w:t>*Speed Dating</w:t>
      </w:r>
      <w:r w:rsidR="00AA7038">
        <w:t xml:space="preserve"> and</w:t>
      </w:r>
      <w:r>
        <w:t xml:space="preserve"> lines of agreement </w:t>
      </w:r>
    </w:p>
    <w:p w:rsidR="001338DF" w:rsidRDefault="001338DF" w:rsidP="001338DF"/>
    <w:p w:rsidR="001338DF" w:rsidRDefault="001338DF" w:rsidP="001338DF"/>
    <w:p w:rsidR="001338DF" w:rsidRDefault="001338DF" w:rsidP="001338DF">
      <w:pPr>
        <w:rPr>
          <w:sz w:val="36"/>
          <w:szCs w:val="36"/>
        </w:rPr>
      </w:pPr>
    </w:p>
    <w:p w:rsidR="001338DF" w:rsidRDefault="001338DF" w:rsidP="001338DF">
      <w:pPr>
        <w:rPr>
          <w:sz w:val="36"/>
          <w:szCs w:val="36"/>
        </w:rPr>
      </w:pPr>
    </w:p>
    <w:p w:rsidR="001338DF" w:rsidRDefault="001338DF" w:rsidP="001338DF">
      <w:pPr>
        <w:pBdr>
          <w:top w:val="single" w:sz="4" w:space="1" w:color="auto"/>
          <w:left w:val="single" w:sz="4" w:space="4" w:color="auto"/>
          <w:bottom w:val="single" w:sz="4" w:space="1" w:color="auto"/>
          <w:right w:val="single" w:sz="4" w:space="4" w:color="auto"/>
        </w:pBdr>
        <w:spacing w:line="259" w:lineRule="atLeast"/>
        <w:jc w:val="center"/>
        <w:rPr>
          <w:rFonts w:ascii="Helvetica" w:hAnsi="Helvetica" w:cs="Helvetica"/>
          <w:color w:val="000000"/>
          <w:sz w:val="19"/>
          <w:szCs w:val="19"/>
        </w:rPr>
      </w:pPr>
      <w:r>
        <w:rPr>
          <w:rFonts w:ascii="Helvetica" w:hAnsi="Helvetica" w:cs="Helvetica"/>
          <w:noProof/>
          <w:color w:val="4374B7"/>
          <w:sz w:val="19"/>
          <w:szCs w:val="19"/>
          <w:lang w:eastAsia="en-GB"/>
        </w:rPr>
        <w:drawing>
          <wp:inline distT="0" distB="0" distL="0" distR="0">
            <wp:extent cx="838200" cy="295275"/>
            <wp:effectExtent l="19050" t="0" r="0" b="0"/>
            <wp:docPr id="2" name="Picture 1" descr="Creative Commons Licens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7"/>
                    </pic:cNvPr>
                    <pic:cNvPicPr>
                      <a:picLocks noChangeAspect="1" noChangeArrowheads="1"/>
                    </pic:cNvPicPr>
                  </pic:nvPicPr>
                  <pic:blipFill>
                    <a:blip r:embed="rId8" cstate="print"/>
                    <a:srcRect/>
                    <a:stretch>
                      <a:fillRect/>
                    </a:stretch>
                  </pic:blipFill>
                  <pic:spPr bwMode="auto">
                    <a:xfrm>
                      <a:off x="0" y="0"/>
                      <a:ext cx="838200" cy="295275"/>
                    </a:xfrm>
                    <a:prstGeom prst="rect">
                      <a:avLst/>
                    </a:prstGeom>
                    <a:noFill/>
                    <a:ln w="9525">
                      <a:noFill/>
                      <a:miter lim="800000"/>
                      <a:headEnd/>
                      <a:tailEnd/>
                    </a:ln>
                  </pic:spPr>
                </pic:pic>
              </a:graphicData>
            </a:graphic>
          </wp:inline>
        </w:drawing>
      </w:r>
      <w:r>
        <w:rPr>
          <w:rFonts w:ascii="Helvetica" w:hAnsi="Helvetica" w:cs="Helvetica"/>
          <w:color w:val="000000"/>
          <w:sz w:val="19"/>
          <w:szCs w:val="19"/>
        </w:rPr>
        <w:br/>
      </w:r>
      <w:r w:rsidRPr="001338DF">
        <w:rPr>
          <w:rFonts w:ascii="Arial" w:hAnsi="Arial" w:cs="Arial"/>
          <w:color w:val="000000"/>
          <w:sz w:val="18"/>
          <w:szCs w:val="18"/>
        </w:rPr>
        <w:t xml:space="preserve">Enhancing the Employability of STEM Student Ambassadors - resources by Enhancing the Employability of STEM Student Ambassadors project is licensed under a </w:t>
      </w:r>
      <w:hyperlink r:id="rId9" w:history="1">
        <w:r w:rsidRPr="001338DF">
          <w:rPr>
            <w:rStyle w:val="Hyperlink"/>
            <w:rFonts w:ascii="Arial" w:hAnsi="Arial" w:cs="Arial"/>
            <w:sz w:val="18"/>
            <w:szCs w:val="18"/>
          </w:rPr>
          <w:t>Creative Commons Attribution-</w:t>
        </w:r>
        <w:proofErr w:type="spellStart"/>
        <w:r w:rsidRPr="001338DF">
          <w:rPr>
            <w:rStyle w:val="Hyperlink"/>
            <w:rFonts w:ascii="Arial" w:hAnsi="Arial" w:cs="Arial"/>
            <w:sz w:val="18"/>
            <w:szCs w:val="18"/>
          </w:rPr>
          <w:t>NonCommercial</w:t>
        </w:r>
        <w:proofErr w:type="spellEnd"/>
        <w:r w:rsidRPr="001338DF">
          <w:rPr>
            <w:rStyle w:val="Hyperlink"/>
            <w:rFonts w:ascii="Arial" w:hAnsi="Arial" w:cs="Arial"/>
            <w:sz w:val="18"/>
            <w:szCs w:val="18"/>
          </w:rPr>
          <w:t>-</w:t>
        </w:r>
        <w:proofErr w:type="spellStart"/>
        <w:r w:rsidRPr="001338DF">
          <w:rPr>
            <w:rStyle w:val="Hyperlink"/>
            <w:rFonts w:ascii="Arial" w:hAnsi="Arial" w:cs="Arial"/>
            <w:sz w:val="18"/>
            <w:szCs w:val="18"/>
          </w:rPr>
          <w:t>ShareAlike</w:t>
        </w:r>
        <w:proofErr w:type="spellEnd"/>
        <w:r w:rsidRPr="001338DF">
          <w:rPr>
            <w:rStyle w:val="Hyperlink"/>
            <w:rFonts w:ascii="Arial" w:hAnsi="Arial" w:cs="Arial"/>
            <w:sz w:val="18"/>
            <w:szCs w:val="18"/>
          </w:rPr>
          <w:t xml:space="preserve"> 3.0 </w:t>
        </w:r>
        <w:proofErr w:type="spellStart"/>
        <w:r w:rsidRPr="001338DF">
          <w:rPr>
            <w:rStyle w:val="Hyperlink"/>
            <w:rFonts w:ascii="Arial" w:hAnsi="Arial" w:cs="Arial"/>
            <w:sz w:val="18"/>
            <w:szCs w:val="18"/>
          </w:rPr>
          <w:t>Unported</w:t>
        </w:r>
        <w:proofErr w:type="spellEnd"/>
        <w:r w:rsidRPr="001338DF">
          <w:rPr>
            <w:rStyle w:val="Hyperlink"/>
            <w:rFonts w:ascii="Arial" w:hAnsi="Arial" w:cs="Arial"/>
            <w:sz w:val="18"/>
            <w:szCs w:val="18"/>
          </w:rPr>
          <w:t xml:space="preserve"> License</w:t>
        </w:r>
      </w:hyperlink>
      <w:r w:rsidRPr="001338DF">
        <w:rPr>
          <w:rFonts w:ascii="Arial" w:hAnsi="Arial" w:cs="Arial"/>
          <w:color w:val="000000"/>
          <w:sz w:val="18"/>
          <w:szCs w:val="18"/>
        </w:rPr>
        <w:t>.</w:t>
      </w:r>
    </w:p>
    <w:sectPr w:rsidR="001338DF" w:rsidSect="00DA57F0">
      <w:footerReference w:type="default" r:id="rId10"/>
      <w:pgSz w:w="11906" w:h="16838"/>
      <w:pgMar w:top="1440" w:right="566" w:bottom="993" w:left="1440"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7310" w:rsidRDefault="00117310" w:rsidP="00117310">
      <w:pPr>
        <w:spacing w:after="0" w:line="240" w:lineRule="auto"/>
      </w:pPr>
      <w:r>
        <w:separator/>
      </w:r>
    </w:p>
  </w:endnote>
  <w:endnote w:type="continuationSeparator" w:id="0">
    <w:p w:rsidR="00117310" w:rsidRDefault="00117310" w:rsidP="001173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10" w:rsidRDefault="00117310">
    <w:pPr>
      <w:pStyle w:val="Footer"/>
    </w:pPr>
  </w:p>
  <w:p w:rsidR="001338DF" w:rsidRDefault="00DA57F0" w:rsidP="001338DF">
    <w:pPr>
      <w:pStyle w:val="Footer"/>
      <w:ind w:left="-709"/>
      <w:rPr>
        <w:sz w:val="18"/>
        <w:szCs w:val="18"/>
      </w:rPr>
    </w:pPr>
    <w:r w:rsidRPr="00E01673">
      <w:rPr>
        <w:noProof/>
        <w:lang w:eastAsia="en-GB"/>
      </w:rPr>
      <w:drawing>
        <wp:inline distT="0" distB="0" distL="0" distR="0">
          <wp:extent cx="1676400" cy="628650"/>
          <wp:effectExtent l="19050" t="0" r="0" b="0"/>
          <wp:docPr id="9" name="Picture 1" descr="sw-hestem-logo.gif"/>
          <wp:cNvGraphicFramePr/>
          <a:graphic xmlns:a="http://schemas.openxmlformats.org/drawingml/2006/main">
            <a:graphicData uri="http://schemas.openxmlformats.org/drawingml/2006/picture">
              <pic:pic xmlns:pic="http://schemas.openxmlformats.org/drawingml/2006/picture">
                <pic:nvPicPr>
                  <pic:cNvPr id="4" name="Picture 3" descr="sw-hestem-logo.gif"/>
                  <pic:cNvPicPr>
                    <a:picLocks noChangeAspect="1"/>
                  </pic:cNvPicPr>
                </pic:nvPicPr>
                <pic:blipFill>
                  <a:blip r:embed="rId1"/>
                  <a:stretch>
                    <a:fillRect/>
                  </a:stretch>
                </pic:blipFill>
                <pic:spPr>
                  <a:xfrm>
                    <a:off x="0" y="0"/>
                    <a:ext cx="1676400" cy="628650"/>
                  </a:xfrm>
                  <a:prstGeom prst="rect">
                    <a:avLst/>
                  </a:prstGeom>
                </pic:spPr>
              </pic:pic>
            </a:graphicData>
          </a:graphic>
        </wp:inline>
      </w:drawing>
    </w:r>
    <w:r>
      <w:t xml:space="preserve">          </w:t>
    </w:r>
    <w:r w:rsidRPr="00E01673">
      <w:rPr>
        <w:noProof/>
        <w:lang w:eastAsia="en-GB"/>
      </w:rPr>
      <w:drawing>
        <wp:inline distT="0" distB="0" distL="0" distR="0">
          <wp:extent cx="671632" cy="600075"/>
          <wp:effectExtent l="19050" t="0" r="0" b="0"/>
          <wp:docPr id="11" name="Picture 6"/>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noChangeArrowheads="1"/>
                  </pic:cNvPicPr>
                </pic:nvPicPr>
                <pic:blipFill>
                  <a:blip r:embed="rId2" cstate="print"/>
                  <a:srcRect/>
                  <a:stretch>
                    <a:fillRect/>
                  </a:stretch>
                </pic:blipFill>
                <pic:spPr bwMode="auto">
                  <a:xfrm>
                    <a:off x="0" y="0"/>
                    <a:ext cx="679292" cy="606919"/>
                  </a:xfrm>
                  <a:prstGeom prst="rect">
                    <a:avLst/>
                  </a:prstGeom>
                  <a:noFill/>
                  <a:ln w="9525">
                    <a:noFill/>
                    <a:miter lim="800000"/>
                    <a:headEnd/>
                    <a:tailEnd/>
                  </a:ln>
                  <a:effectLst/>
                </pic:spPr>
              </pic:pic>
            </a:graphicData>
          </a:graphic>
        </wp:inline>
      </w:drawing>
    </w:r>
    <w:r w:rsidRPr="00E01673">
      <w:rPr>
        <w:noProof/>
        <w:lang w:eastAsia="en-GB"/>
      </w:rPr>
      <w:drawing>
        <wp:inline distT="0" distB="0" distL="0" distR="0">
          <wp:extent cx="653811" cy="555005"/>
          <wp:effectExtent l="19050" t="0" r="0" b="0"/>
          <wp:docPr id="12" name="Picture 5" descr="blue_logo_small.gif"/>
          <wp:cNvGraphicFramePr/>
          <a:graphic xmlns:a="http://schemas.openxmlformats.org/drawingml/2006/main">
            <a:graphicData uri="http://schemas.openxmlformats.org/drawingml/2006/picture">
              <pic:pic xmlns:pic="http://schemas.openxmlformats.org/drawingml/2006/picture">
                <pic:nvPicPr>
                  <pic:cNvPr id="8" name="Picture 7" descr="blue_logo_small.gif"/>
                  <pic:cNvPicPr>
                    <a:picLocks noChangeAspect="1"/>
                  </pic:cNvPicPr>
                </pic:nvPicPr>
                <pic:blipFill>
                  <a:blip r:embed="rId3" cstate="print"/>
                  <a:stretch>
                    <a:fillRect/>
                  </a:stretch>
                </pic:blipFill>
                <pic:spPr>
                  <a:xfrm>
                    <a:off x="0" y="0"/>
                    <a:ext cx="656457" cy="557251"/>
                  </a:xfrm>
                  <a:prstGeom prst="rect">
                    <a:avLst/>
                  </a:prstGeom>
                </pic:spPr>
              </pic:pic>
            </a:graphicData>
          </a:graphic>
        </wp:inline>
      </w:drawing>
    </w:r>
    <w:r w:rsidRPr="00E01673">
      <w:rPr>
        <w:noProof/>
        <w:lang w:eastAsia="en-GB"/>
      </w:rPr>
      <w:drawing>
        <wp:inline distT="0" distB="0" distL="0" distR="0">
          <wp:extent cx="1114425" cy="628650"/>
          <wp:effectExtent l="19050" t="0" r="9525" b="0"/>
          <wp:docPr id="10" name="Picture 2" descr="uni_of_bath.jpg"/>
          <wp:cNvGraphicFramePr/>
          <a:graphic xmlns:a="http://schemas.openxmlformats.org/drawingml/2006/main">
            <a:graphicData uri="http://schemas.openxmlformats.org/drawingml/2006/picture">
              <pic:pic xmlns:pic="http://schemas.openxmlformats.org/drawingml/2006/picture">
                <pic:nvPicPr>
                  <pic:cNvPr id="5" name="Picture 4" descr="uni_of_bath.jpg"/>
                  <pic:cNvPicPr>
                    <a:picLocks noChangeAspect="1"/>
                  </pic:cNvPicPr>
                </pic:nvPicPr>
                <pic:blipFill>
                  <a:blip r:embed="rId4"/>
                  <a:stretch>
                    <a:fillRect/>
                  </a:stretch>
                </pic:blipFill>
                <pic:spPr>
                  <a:xfrm>
                    <a:off x="0" y="0"/>
                    <a:ext cx="1122711" cy="633324"/>
                  </a:xfrm>
                  <a:prstGeom prst="rect">
                    <a:avLst/>
                  </a:prstGeom>
                </pic:spPr>
              </pic:pic>
            </a:graphicData>
          </a:graphic>
        </wp:inline>
      </w:drawing>
    </w:r>
    <w:r w:rsidRPr="00E01673">
      <w:rPr>
        <w:noProof/>
        <w:lang w:eastAsia="en-GB"/>
      </w:rPr>
      <w:drawing>
        <wp:inline distT="0" distB="0" distL="0" distR="0">
          <wp:extent cx="1024746" cy="465826"/>
          <wp:effectExtent l="19050" t="0" r="3954" b="0"/>
          <wp:docPr id="13" name="Picture 4" descr="colour_logo.jpg"/>
          <wp:cNvGraphicFramePr/>
          <a:graphic xmlns:a="http://schemas.openxmlformats.org/drawingml/2006/main">
            <a:graphicData uri="http://schemas.openxmlformats.org/drawingml/2006/picture">
              <pic:pic xmlns:pic="http://schemas.openxmlformats.org/drawingml/2006/picture">
                <pic:nvPicPr>
                  <pic:cNvPr id="7" name="Picture 6" descr="colour_logo.jpg"/>
                  <pic:cNvPicPr>
                    <a:picLocks noChangeAspect="1"/>
                  </pic:cNvPicPr>
                </pic:nvPicPr>
                <pic:blipFill>
                  <a:blip r:embed="rId5"/>
                  <a:stretch>
                    <a:fillRect/>
                  </a:stretch>
                </pic:blipFill>
                <pic:spPr>
                  <a:xfrm>
                    <a:off x="0" y="0"/>
                    <a:ext cx="1020987" cy="464117"/>
                  </a:xfrm>
                  <a:prstGeom prst="rect">
                    <a:avLst/>
                  </a:prstGeom>
                </pic:spPr>
              </pic:pic>
            </a:graphicData>
          </a:graphic>
        </wp:inline>
      </w:drawing>
    </w:r>
    <w:r w:rsidRPr="00DA57F0">
      <w:rPr>
        <w:noProof/>
        <w:lang w:eastAsia="en-GB"/>
      </w:rPr>
      <w:drawing>
        <wp:inline distT="0" distB="0" distL="0" distR="0">
          <wp:extent cx="1076325" cy="615453"/>
          <wp:effectExtent l="19050" t="0" r="9525" b="0"/>
          <wp:docPr id="8" name="Picture 6" descr="DISCOVER P7461 CG11C.jpg"/>
          <wp:cNvGraphicFramePr/>
          <a:graphic xmlns:a="http://schemas.openxmlformats.org/drawingml/2006/main">
            <a:graphicData uri="http://schemas.openxmlformats.org/drawingml/2006/picture">
              <pic:pic xmlns:pic="http://schemas.openxmlformats.org/drawingml/2006/picture">
                <pic:nvPicPr>
                  <pic:cNvPr id="14" name="Picture 13" descr="DISCOVER P7461 CG11C.jpg"/>
                  <pic:cNvPicPr>
                    <a:picLocks noChangeAspect="1"/>
                  </pic:cNvPicPr>
                </pic:nvPicPr>
                <pic:blipFill>
                  <a:blip r:embed="rId6"/>
                  <a:stretch>
                    <a:fillRect/>
                  </a:stretch>
                </pic:blipFill>
                <pic:spPr>
                  <a:xfrm>
                    <a:off x="0" y="0"/>
                    <a:ext cx="1076154" cy="615355"/>
                  </a:xfrm>
                  <a:prstGeom prst="rect">
                    <a:avLst/>
                  </a:prstGeom>
                </pic:spPr>
              </pic:pic>
            </a:graphicData>
          </a:graphic>
        </wp:inline>
      </w:drawing>
    </w:r>
    <w:r w:rsidR="001338DF" w:rsidRPr="001338DF">
      <w:rPr>
        <w:sz w:val="18"/>
        <w:szCs w:val="18"/>
      </w:rPr>
      <w:t xml:space="preserve"> </w:t>
    </w:r>
  </w:p>
  <w:p w:rsidR="001338DF" w:rsidRPr="00563F10" w:rsidRDefault="001338DF" w:rsidP="001338DF">
    <w:pPr>
      <w:pStyle w:val="Footer"/>
      <w:ind w:left="-709"/>
      <w:rPr>
        <w:sz w:val="18"/>
        <w:szCs w:val="18"/>
      </w:rPr>
    </w:pPr>
    <w:r w:rsidRPr="00563F10">
      <w:rPr>
        <w:sz w:val="18"/>
        <w:szCs w:val="18"/>
      </w:rPr>
      <w:t xml:space="preserve">This activity was undertaken as a part of the National HE STEM Programme, via the South West Spoke. For more information on South West Spoke projects, please see </w:t>
    </w:r>
    <w:hyperlink r:id="rId7" w:history="1">
      <w:r w:rsidRPr="00563F10">
        <w:rPr>
          <w:rStyle w:val="Hyperlink"/>
          <w:sz w:val="18"/>
          <w:szCs w:val="18"/>
        </w:rPr>
        <w:t>www.hestem-sw.org.uk</w:t>
      </w:r>
    </w:hyperlink>
    <w:r w:rsidRPr="00563F10">
      <w:rPr>
        <w:sz w:val="18"/>
        <w:szCs w:val="18"/>
      </w:rPr>
      <w:t xml:space="preserve"> For more information on the overall national programme, please see </w:t>
    </w:r>
    <w:hyperlink r:id="rId8" w:history="1">
      <w:r w:rsidRPr="00F21F68">
        <w:rPr>
          <w:rStyle w:val="Hyperlink"/>
          <w:sz w:val="18"/>
          <w:szCs w:val="18"/>
        </w:rPr>
        <w:t>www.hestem.ac.uk</w:t>
      </w:r>
    </w:hyperlink>
    <w:r>
      <w:rPr>
        <w:sz w:val="18"/>
        <w:szCs w:val="18"/>
      </w:rPr>
      <w:t xml:space="preserve"> </w:t>
    </w:r>
  </w:p>
  <w:p w:rsidR="00117310" w:rsidRDefault="00117310" w:rsidP="00DA57F0">
    <w:pPr>
      <w:pStyle w:val="Footer"/>
    </w:pPr>
  </w:p>
  <w:p w:rsidR="00117310" w:rsidRDefault="0011731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7310" w:rsidRDefault="00117310" w:rsidP="00117310">
      <w:pPr>
        <w:spacing w:after="0" w:line="240" w:lineRule="auto"/>
      </w:pPr>
      <w:r>
        <w:separator/>
      </w:r>
    </w:p>
  </w:footnote>
  <w:footnote w:type="continuationSeparator" w:id="0">
    <w:p w:rsidR="00117310" w:rsidRDefault="00117310" w:rsidP="001173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9D64C1"/>
    <w:multiLevelType w:val="hybridMultilevel"/>
    <w:tmpl w:val="F97EF2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5BE070C9"/>
    <w:multiLevelType w:val="hybridMultilevel"/>
    <w:tmpl w:val="2C3672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AF1EA8"/>
    <w:rsid w:val="00051CA0"/>
    <w:rsid w:val="000534AD"/>
    <w:rsid w:val="00117310"/>
    <w:rsid w:val="001338DF"/>
    <w:rsid w:val="003F5BA4"/>
    <w:rsid w:val="005134E8"/>
    <w:rsid w:val="007524C1"/>
    <w:rsid w:val="00AA1FEF"/>
    <w:rsid w:val="00AA7038"/>
    <w:rsid w:val="00AF1EA8"/>
    <w:rsid w:val="00C2347B"/>
    <w:rsid w:val="00D42738"/>
    <w:rsid w:val="00DA57F0"/>
    <w:rsid w:val="00F125DC"/>
    <w:rsid w:val="00F47F63"/>
    <w:rsid w:val="00FB473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4E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E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4AD"/>
    <w:pPr>
      <w:ind w:left="720"/>
      <w:contextualSpacing/>
    </w:pPr>
  </w:style>
  <w:style w:type="paragraph" w:styleId="BalloonText">
    <w:name w:val="Balloon Text"/>
    <w:basedOn w:val="Normal"/>
    <w:link w:val="BalloonTextChar"/>
    <w:uiPriority w:val="99"/>
    <w:semiHidden/>
    <w:unhideWhenUsed/>
    <w:rsid w:val="001173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7310"/>
    <w:rPr>
      <w:rFonts w:ascii="Tahoma" w:hAnsi="Tahoma" w:cs="Tahoma"/>
      <w:sz w:val="16"/>
      <w:szCs w:val="16"/>
    </w:rPr>
  </w:style>
  <w:style w:type="paragraph" w:styleId="Header">
    <w:name w:val="header"/>
    <w:basedOn w:val="Normal"/>
    <w:link w:val="HeaderChar"/>
    <w:uiPriority w:val="99"/>
    <w:semiHidden/>
    <w:unhideWhenUsed/>
    <w:rsid w:val="0011731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17310"/>
  </w:style>
  <w:style w:type="paragraph" w:styleId="Footer">
    <w:name w:val="footer"/>
    <w:basedOn w:val="Normal"/>
    <w:link w:val="FooterChar"/>
    <w:uiPriority w:val="99"/>
    <w:unhideWhenUsed/>
    <w:rsid w:val="001173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7310"/>
  </w:style>
  <w:style w:type="character" w:styleId="Hyperlink">
    <w:name w:val="Hyperlink"/>
    <w:basedOn w:val="DefaultParagraphFont"/>
    <w:uiPriority w:val="99"/>
    <w:unhideWhenUsed/>
    <w:rsid w:val="001338DF"/>
    <w:rPr>
      <w:strike w:val="0"/>
      <w:dstrike w:val="0"/>
      <w:color w:val="4374B7"/>
      <w:u w:val="singl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E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4AD"/>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creativecommons.org/licenses/by-nc-sa/3.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creativecommons.org/licenses/by-nc-sa/3.0/" TargetMode="External"/></Relationships>
</file>

<file path=word/_rels/footer1.xml.rels><?xml version="1.0" encoding="UTF-8" standalone="yes"?>
<Relationships xmlns="http://schemas.openxmlformats.org/package/2006/relationships"><Relationship Id="rId8" Type="http://schemas.openxmlformats.org/officeDocument/2006/relationships/hyperlink" Target="http://www.hestem.ac.uk" TargetMode="External"/><Relationship Id="rId3" Type="http://schemas.openxmlformats.org/officeDocument/2006/relationships/image" Target="media/image4.gif"/><Relationship Id="rId7" Type="http://schemas.openxmlformats.org/officeDocument/2006/relationships/hyperlink" Target="http://www.hestem-sw.org.uk" TargetMode="External"/><Relationship Id="rId2" Type="http://schemas.openxmlformats.org/officeDocument/2006/relationships/image" Target="media/image3.jpeg"/><Relationship Id="rId1" Type="http://schemas.openxmlformats.org/officeDocument/2006/relationships/image" Target="media/image2.gif"/><Relationship Id="rId6" Type="http://schemas.openxmlformats.org/officeDocument/2006/relationships/image" Target="media/image7.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330</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 the Trainers Plan</dc:title>
  <dc:subject>Train the Trainers Plan</dc:subject>
  <dc:creator>Ambassador Employability project</dc:creator>
  <cp:keywords>HE STEM Student Ambassador Employability</cp:keywords>
  <cp:lastModifiedBy>es211</cp:lastModifiedBy>
  <cp:revision>3</cp:revision>
  <cp:lastPrinted>2011-09-13T12:57:00Z</cp:lastPrinted>
  <dcterms:created xsi:type="dcterms:W3CDTF">2012-05-30T09:52:00Z</dcterms:created>
  <dcterms:modified xsi:type="dcterms:W3CDTF">2012-06-27T11:17:00Z</dcterms:modified>
</cp:coreProperties>
</file>